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6EAC" w:rsidRPr="00CE0EAD" w:rsidRDefault="00806EAC" w:rsidP="00CD131B">
      <w:pPr>
        <w:pStyle w:val="Subtitle"/>
        <w:rPr>
          <w:rStyle w:val="BookTitle"/>
          <w:i w:val="0"/>
        </w:rPr>
      </w:pPr>
      <w:r w:rsidRPr="00CE0EAD">
        <w:rPr>
          <w:rStyle w:val="BookTitle"/>
          <w:i w:val="0"/>
        </w:rPr>
        <w:t>3GPP TSG RAN WG1 Meeting #98</w:t>
      </w:r>
      <w:r w:rsidR="00391CE4">
        <w:rPr>
          <w:rStyle w:val="BookTitle"/>
          <w:i w:val="0"/>
        </w:rPr>
        <w:tab/>
      </w:r>
      <w:r w:rsidR="00391CE4">
        <w:rPr>
          <w:rStyle w:val="BookTitle"/>
          <w:i w:val="0"/>
        </w:rPr>
        <w:tab/>
      </w:r>
      <w:r w:rsidR="00391CE4">
        <w:rPr>
          <w:rStyle w:val="BookTitle"/>
          <w:i w:val="0"/>
        </w:rPr>
        <w:tab/>
      </w:r>
      <w:r w:rsidR="00391CE4">
        <w:rPr>
          <w:rStyle w:val="BookTitle"/>
          <w:i w:val="0"/>
        </w:rPr>
        <w:tab/>
      </w:r>
      <w:r w:rsidR="00391CE4">
        <w:rPr>
          <w:rStyle w:val="BookTitle"/>
          <w:i w:val="0"/>
        </w:rPr>
        <w:tab/>
      </w:r>
      <w:r w:rsidR="00391CE4">
        <w:rPr>
          <w:rStyle w:val="BookTitle"/>
          <w:i w:val="0"/>
        </w:rPr>
        <w:tab/>
      </w:r>
      <w:r w:rsidR="00391CE4">
        <w:rPr>
          <w:rStyle w:val="BookTitle"/>
          <w:i w:val="0"/>
        </w:rPr>
        <w:tab/>
      </w:r>
      <w:r w:rsidR="00391CE4">
        <w:rPr>
          <w:rStyle w:val="BookTitle"/>
          <w:i w:val="0"/>
        </w:rPr>
        <w:tab/>
      </w:r>
      <w:r w:rsidR="00391CE4">
        <w:rPr>
          <w:rStyle w:val="BookTitle"/>
          <w:i w:val="0"/>
        </w:rPr>
        <w:tab/>
      </w:r>
      <w:r w:rsidR="00391CE4">
        <w:rPr>
          <w:rStyle w:val="BookTitle"/>
          <w:i w:val="0"/>
        </w:rPr>
        <w:tab/>
      </w:r>
      <w:r w:rsidR="00391CE4">
        <w:rPr>
          <w:rStyle w:val="BookTitle"/>
          <w:i w:val="0"/>
        </w:rPr>
        <w:tab/>
      </w:r>
      <w:r w:rsidR="00391CE4">
        <w:rPr>
          <w:rStyle w:val="BookTitle"/>
          <w:i w:val="0"/>
        </w:rPr>
        <w:tab/>
      </w:r>
      <w:r w:rsidR="00391CE4">
        <w:rPr>
          <w:rStyle w:val="BookTitle"/>
          <w:i w:val="0"/>
        </w:rPr>
        <w:tab/>
      </w:r>
      <w:r w:rsidR="00391CE4">
        <w:rPr>
          <w:rStyle w:val="BookTitle"/>
          <w:i w:val="0"/>
        </w:rPr>
        <w:tab/>
      </w:r>
      <w:r w:rsidR="00391CE4">
        <w:rPr>
          <w:rStyle w:val="BookTitle"/>
          <w:i w:val="0"/>
        </w:rPr>
        <w:tab/>
      </w:r>
      <w:r w:rsidR="00391CE4">
        <w:rPr>
          <w:rStyle w:val="BookTitle"/>
          <w:i w:val="0"/>
        </w:rPr>
        <w:tab/>
      </w:r>
      <w:r w:rsidR="00391CE4">
        <w:rPr>
          <w:rStyle w:val="BookTitle"/>
          <w:i w:val="0"/>
        </w:rPr>
        <w:tab/>
      </w:r>
      <w:r w:rsidR="00391CE4">
        <w:rPr>
          <w:rStyle w:val="BookTitle"/>
          <w:i w:val="0"/>
        </w:rPr>
        <w:tab/>
        <w:t xml:space="preserve">    R1-1909</w:t>
      </w:r>
      <w:r w:rsidR="00AD60B8">
        <w:rPr>
          <w:rStyle w:val="BookTitle"/>
          <w:i w:val="0"/>
        </w:rPr>
        <w:t>52</w:t>
      </w:r>
      <w:r w:rsidR="005D7E88">
        <w:rPr>
          <w:rStyle w:val="BookTitle"/>
          <w:i w:val="0"/>
        </w:rPr>
        <w:t>6</w:t>
      </w:r>
    </w:p>
    <w:p w:rsidR="00806EAC" w:rsidRPr="00CE0EAD" w:rsidRDefault="00806EAC" w:rsidP="00CD131B">
      <w:pPr>
        <w:pStyle w:val="Subtitle"/>
        <w:rPr>
          <w:rStyle w:val="BookTitle"/>
          <w:i w:val="0"/>
        </w:rPr>
      </w:pPr>
      <w:r w:rsidRPr="00CE0EAD">
        <w:rPr>
          <w:rStyle w:val="BookTitle"/>
          <w:i w:val="0"/>
        </w:rPr>
        <w:t>Prague, Czech Republic, 2</w:t>
      </w:r>
      <w:r w:rsidR="00007B6D" w:rsidRPr="00CE0EAD">
        <w:rPr>
          <w:rStyle w:val="BookTitle"/>
          <w:i w:val="0"/>
        </w:rPr>
        <w:t>6</w:t>
      </w:r>
      <w:r w:rsidR="00CD131B" w:rsidRPr="00CE0EAD">
        <w:rPr>
          <w:rStyle w:val="BookTitle"/>
          <w:i w:val="0"/>
          <w:vertAlign w:val="superscript"/>
        </w:rPr>
        <w:t>th</w:t>
      </w:r>
      <w:r w:rsidR="00CD131B" w:rsidRPr="00CE0EAD">
        <w:rPr>
          <w:rStyle w:val="BookTitle"/>
          <w:i w:val="0"/>
        </w:rPr>
        <w:t xml:space="preserve"> </w:t>
      </w:r>
      <w:r w:rsidRPr="00CE0EAD">
        <w:rPr>
          <w:rStyle w:val="BookTitle"/>
          <w:i w:val="0"/>
        </w:rPr>
        <w:t>August– 30</w:t>
      </w:r>
      <w:r w:rsidR="00CD131B" w:rsidRPr="00CE0EAD">
        <w:rPr>
          <w:rStyle w:val="BookTitle"/>
          <w:i w:val="0"/>
          <w:vertAlign w:val="superscript"/>
        </w:rPr>
        <w:t>th</w:t>
      </w:r>
      <w:r w:rsidR="00CD131B" w:rsidRPr="00CE0EAD">
        <w:rPr>
          <w:rStyle w:val="BookTitle"/>
          <w:i w:val="0"/>
        </w:rPr>
        <w:t xml:space="preserve"> </w:t>
      </w:r>
      <w:r w:rsidRPr="00CE0EAD">
        <w:rPr>
          <w:rStyle w:val="BookTitle"/>
          <w:i w:val="0"/>
        </w:rPr>
        <w:t>August 2019</w:t>
      </w:r>
    </w:p>
    <w:p w:rsidR="00806EAC" w:rsidRPr="002B4616" w:rsidRDefault="00806EAC" w:rsidP="00806EAC">
      <w:pPr>
        <w:pBdr>
          <w:top w:val="single" w:sz="4" w:space="1" w:color="auto"/>
          <w:bottom w:val="single" w:sz="4" w:space="1" w:color="auto"/>
        </w:pBdr>
        <w:rPr>
          <w:rStyle w:val="SubtitleChar"/>
        </w:rPr>
      </w:pPr>
      <w:r w:rsidRPr="00AF0340">
        <w:rPr>
          <w:rStyle w:val="BookTitle"/>
        </w:rPr>
        <w:t>Agenda Item:</w:t>
      </w:r>
      <w:r w:rsidRPr="00806EAC">
        <w:rPr>
          <w:rStyle w:val="IntenseReference"/>
        </w:rPr>
        <w:tab/>
      </w:r>
      <w:r w:rsidRPr="00806EAC">
        <w:rPr>
          <w:rStyle w:val="IntenseReference"/>
        </w:rPr>
        <w:tab/>
      </w:r>
      <w:r w:rsidRPr="002B4616">
        <w:rPr>
          <w:rStyle w:val="SubtitleChar"/>
        </w:rPr>
        <w:t>7.2.3.</w:t>
      </w:r>
      <w:r w:rsidR="001A4E01">
        <w:rPr>
          <w:rStyle w:val="SubtitleChar"/>
        </w:rPr>
        <w:t>2</w:t>
      </w:r>
    </w:p>
    <w:p w:rsidR="00806EAC" w:rsidRPr="00131C46" w:rsidRDefault="00806EAC" w:rsidP="00806EAC">
      <w:pPr>
        <w:pBdr>
          <w:top w:val="single" w:sz="4" w:space="1" w:color="auto"/>
          <w:bottom w:val="single" w:sz="4" w:space="1" w:color="auto"/>
        </w:pBdr>
        <w:rPr>
          <w:rStyle w:val="BookTitle"/>
        </w:rPr>
      </w:pPr>
      <w:r w:rsidRPr="00AF0340">
        <w:rPr>
          <w:rStyle w:val="BookTitle"/>
        </w:rPr>
        <w:t>Source:</w:t>
      </w:r>
      <w:r w:rsidRPr="00AF0340">
        <w:rPr>
          <w:rStyle w:val="BookTitle"/>
        </w:rPr>
        <w:tab/>
      </w:r>
      <w:r>
        <w:rPr>
          <w:rStyle w:val="IntenseReference"/>
        </w:rPr>
        <w:tab/>
      </w:r>
      <w:r>
        <w:rPr>
          <w:rStyle w:val="IntenseReference"/>
        </w:rPr>
        <w:tab/>
      </w:r>
      <w:r>
        <w:rPr>
          <w:rStyle w:val="IntenseReference"/>
        </w:rPr>
        <w:tab/>
      </w:r>
      <w:r w:rsidRPr="002B4616">
        <w:rPr>
          <w:rStyle w:val="SubtitleChar"/>
        </w:rPr>
        <w:t>Qualcomm Incorporated</w:t>
      </w:r>
    </w:p>
    <w:p w:rsidR="00806EAC" w:rsidRPr="002B4616" w:rsidRDefault="00806EAC" w:rsidP="005D7E88">
      <w:pPr>
        <w:pBdr>
          <w:top w:val="single" w:sz="4" w:space="1" w:color="auto"/>
          <w:bottom w:val="single" w:sz="4" w:space="1" w:color="auto"/>
        </w:pBdr>
        <w:ind w:left="1700" w:hanging="1700"/>
        <w:rPr>
          <w:rStyle w:val="SubtitleChar"/>
        </w:rPr>
      </w:pPr>
      <w:r w:rsidRPr="00AF0340">
        <w:rPr>
          <w:rStyle w:val="BookTitle"/>
        </w:rPr>
        <w:t xml:space="preserve">Title: </w:t>
      </w:r>
      <w:r w:rsidRPr="00AF0340">
        <w:rPr>
          <w:rStyle w:val="BookTitle"/>
        </w:rPr>
        <w:tab/>
      </w:r>
      <w:r w:rsidRPr="00806EAC">
        <w:rPr>
          <w:rStyle w:val="IntenseReference"/>
        </w:rPr>
        <w:tab/>
      </w:r>
      <w:r w:rsidR="005D7E88" w:rsidRPr="005D7E88">
        <w:rPr>
          <w:rStyle w:val="SubtitleChar"/>
        </w:rPr>
        <w:t>Summary of section 7.2.3.2 – Extension of RACH occasions and periodicities for backhaul RACH resources</w:t>
      </w:r>
    </w:p>
    <w:p w:rsidR="00806EAC" w:rsidRPr="002B4616" w:rsidRDefault="00806EAC" w:rsidP="00806EAC">
      <w:pPr>
        <w:pBdr>
          <w:top w:val="single" w:sz="4" w:space="1" w:color="auto"/>
          <w:bottom w:val="single" w:sz="4" w:space="1" w:color="auto"/>
        </w:pBdr>
        <w:rPr>
          <w:rStyle w:val="SubtitleChar"/>
        </w:rPr>
      </w:pPr>
      <w:r w:rsidRPr="00AF0340">
        <w:rPr>
          <w:rStyle w:val="BookTitle"/>
        </w:rPr>
        <w:t>Document for:</w:t>
      </w:r>
      <w:r w:rsidRPr="00806EAC">
        <w:rPr>
          <w:rStyle w:val="IntenseReference"/>
        </w:rPr>
        <w:tab/>
      </w:r>
      <w:r w:rsidR="00AF0340">
        <w:rPr>
          <w:rStyle w:val="IntenseReference"/>
        </w:rPr>
        <w:tab/>
      </w:r>
      <w:r w:rsidRPr="002B4616">
        <w:rPr>
          <w:rStyle w:val="SubtitleChar"/>
        </w:rPr>
        <w:t>Discussion and decision</w:t>
      </w:r>
    </w:p>
    <w:p w:rsidR="00806EAC" w:rsidRDefault="00806EAC" w:rsidP="00013C33">
      <w:pPr>
        <w:pStyle w:val="Heading3"/>
      </w:pPr>
      <w:r>
        <w:t>Introduction</w:t>
      </w:r>
    </w:p>
    <w:p w:rsidR="004A59B1" w:rsidRDefault="005D7E88" w:rsidP="004A59B1">
      <w:r w:rsidRPr="005D7E88">
        <w:t>This document provides a summary of the proposals for section 7.2.3.2 of the agenda on the subject of RACH extensions for IAB and the associated discussion points and offline agreements.</w:t>
      </w:r>
    </w:p>
    <w:p w:rsidR="002A747F" w:rsidRDefault="002A747F" w:rsidP="002A747F">
      <w:pPr>
        <w:pStyle w:val="Heading3"/>
      </w:pPr>
      <w:r>
        <w:t>Discussion points</w:t>
      </w:r>
    </w:p>
    <w:p w:rsidR="002A747F" w:rsidRDefault="00BA4B2B" w:rsidP="002A747F">
      <w:r>
        <w:t>Based on the contributions t</w:t>
      </w:r>
      <w:r w:rsidR="002A747F" w:rsidRPr="005D7E88">
        <w:t>h</w:t>
      </w:r>
      <w:r w:rsidR="002A747F">
        <w:t>e</w:t>
      </w:r>
      <w:r w:rsidR="009F3EFB">
        <w:t xml:space="preserve">re is one main </w:t>
      </w:r>
      <w:r>
        <w:t xml:space="preserve">remaining </w:t>
      </w:r>
      <w:r w:rsidR="009F3EFB">
        <w:t>discussion point</w:t>
      </w:r>
      <w:r>
        <w:t>:</w:t>
      </w:r>
    </w:p>
    <w:p w:rsidR="009845F0" w:rsidRPr="000433D1" w:rsidRDefault="002A747F" w:rsidP="009845F0">
      <w:pPr>
        <w:pStyle w:val="ListParagraph"/>
        <w:numPr>
          <w:ilvl w:val="0"/>
          <w:numId w:val="5"/>
        </w:numPr>
        <w:rPr>
          <w:u w:val="single"/>
        </w:rPr>
      </w:pPr>
      <w:r w:rsidRPr="000433D1">
        <w:rPr>
          <w:u w:val="single"/>
        </w:rPr>
        <w:t>Clarification on whether backhaul specific RACH configurations should be made available for initial access</w:t>
      </w:r>
    </w:p>
    <w:p w:rsidR="009845F0" w:rsidRDefault="00AC7961" w:rsidP="00BA4B2B">
      <w:r>
        <w:t>Based on the discussion in the offline session on August 27</w:t>
      </w:r>
      <w:r w:rsidRPr="00AC7961">
        <w:rPr>
          <w:vertAlign w:val="superscript"/>
        </w:rPr>
        <w:t>th</w:t>
      </w:r>
      <w:r>
        <w:t xml:space="preserve"> the consensus is that indeed support for IAB-specific backhaul </w:t>
      </w:r>
      <w:r w:rsidR="000433D1">
        <w:t xml:space="preserve">RACH configurations for initial access was already defined as per the agreements in RAN1 #97. </w:t>
      </w:r>
      <w:proofErr w:type="spellStart"/>
      <w:r w:rsidR="000433D1">
        <w:t>Neverthless</w:t>
      </w:r>
      <w:proofErr w:type="spellEnd"/>
      <w:r w:rsidR="000433D1">
        <w:t xml:space="preserve"> for avoidance of doubt the following agreement could be added:</w:t>
      </w:r>
    </w:p>
    <w:p w:rsidR="002A747F" w:rsidRPr="009845F0" w:rsidRDefault="009845F0" w:rsidP="002A747F">
      <w:pPr>
        <w:rPr>
          <w:b/>
          <w:u w:val="single"/>
        </w:rPr>
      </w:pPr>
      <w:r w:rsidRPr="00BA4B2B">
        <w:rPr>
          <w:b/>
          <w:highlight w:val="green"/>
          <w:u w:val="single"/>
        </w:rPr>
        <w:t xml:space="preserve">Offline </w:t>
      </w:r>
      <w:r w:rsidR="00BA4B2B" w:rsidRPr="00BA4B2B">
        <w:rPr>
          <w:b/>
          <w:highlight w:val="green"/>
          <w:u w:val="single"/>
        </w:rPr>
        <w:t>agreement</w:t>
      </w:r>
      <w:r w:rsidRPr="00BA4B2B">
        <w:rPr>
          <w:b/>
          <w:highlight w:val="green"/>
          <w:u w:val="single"/>
        </w:rPr>
        <w:t xml:space="preserve"> 1:</w:t>
      </w:r>
    </w:p>
    <w:p w:rsidR="009845F0" w:rsidRPr="009845F0" w:rsidRDefault="009845F0" w:rsidP="002A747F">
      <w:pPr>
        <w:rPr>
          <w:b/>
        </w:rPr>
      </w:pPr>
      <w:r w:rsidRPr="009845F0">
        <w:rPr>
          <w:b/>
        </w:rPr>
        <w:t xml:space="preserve">IAB-specific </w:t>
      </w:r>
      <w:r w:rsidR="00AC7961">
        <w:rPr>
          <w:b/>
        </w:rPr>
        <w:t xml:space="preserve">backhaul </w:t>
      </w:r>
      <w:r w:rsidRPr="009845F0">
        <w:rPr>
          <w:b/>
        </w:rPr>
        <w:t xml:space="preserve">RACH configurations are </w:t>
      </w:r>
      <w:r w:rsidR="000433D1">
        <w:rPr>
          <w:b/>
        </w:rPr>
        <w:t xml:space="preserve">also </w:t>
      </w:r>
      <w:r w:rsidRPr="009845F0">
        <w:rPr>
          <w:b/>
        </w:rPr>
        <w:t xml:space="preserve">available for </w:t>
      </w:r>
      <w:proofErr w:type="spellStart"/>
      <w:r w:rsidRPr="009845F0">
        <w:rPr>
          <w:b/>
        </w:rPr>
        <w:t>intial</w:t>
      </w:r>
      <w:proofErr w:type="spellEnd"/>
      <w:r w:rsidRPr="009845F0">
        <w:rPr>
          <w:b/>
        </w:rPr>
        <w:t xml:space="preserve"> access of IAB nodes.</w:t>
      </w:r>
    </w:p>
    <w:p w:rsidR="009845F0" w:rsidRDefault="009845F0" w:rsidP="002A747F"/>
    <w:p w:rsidR="000433D1" w:rsidRDefault="006547F1" w:rsidP="002A747F">
      <w:r>
        <w:t>Other points in the contributions relate to signalling aspects for which we had already agreed in RAN1 #97 it would be up to RAN2 to discuss and decide.</w:t>
      </w:r>
    </w:p>
    <w:p w:rsidR="009F3EFB" w:rsidRDefault="009F3EFB" w:rsidP="002A747F"/>
    <w:p w:rsidR="00A2060E" w:rsidRDefault="00A2060E" w:rsidP="00A2060E">
      <w:r>
        <w:t xml:space="preserve">Companies </w:t>
      </w:r>
      <w:r w:rsidR="006E5EBF">
        <w:t>input</w:t>
      </w:r>
      <w:r>
        <w:t>: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1407"/>
        <w:gridCol w:w="7654"/>
      </w:tblGrid>
      <w:tr w:rsidR="00A2060E" w:rsidTr="006E5EBF">
        <w:tc>
          <w:tcPr>
            <w:tcW w:w="1407" w:type="dxa"/>
          </w:tcPr>
          <w:p w:rsidR="00A2060E" w:rsidRPr="00FA2380" w:rsidRDefault="00A2060E" w:rsidP="004B4633">
            <w:pPr>
              <w:pStyle w:val="maintext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  <w:p w:rsidR="00A2060E" w:rsidRPr="00FA2380" w:rsidRDefault="00A2060E" w:rsidP="004B4633">
            <w:pPr>
              <w:pStyle w:val="maintext"/>
              <w:ind w:firstLine="0"/>
              <w:rPr>
                <w:lang w:eastAsia="en-US"/>
              </w:rPr>
            </w:pPr>
            <w:r w:rsidRPr="00FA2380">
              <w:rPr>
                <w:lang w:eastAsia="en-US"/>
              </w:rPr>
              <w:t>R1-190</w:t>
            </w:r>
            <w:r w:rsidR="006E5EBF">
              <w:rPr>
                <w:lang w:eastAsia="en-US"/>
              </w:rPr>
              <w:t>8038</w:t>
            </w:r>
          </w:p>
        </w:tc>
        <w:tc>
          <w:tcPr>
            <w:tcW w:w="7654" w:type="dxa"/>
          </w:tcPr>
          <w:p w:rsidR="006E5EBF" w:rsidRPr="00D51650" w:rsidRDefault="006E5EBF" w:rsidP="006E5EBF">
            <w:pPr>
              <w:rPr>
                <w:b/>
                <w:lang w:eastAsia="zh-CN"/>
              </w:rPr>
            </w:pPr>
            <w:r w:rsidRPr="00D51650">
              <w:rPr>
                <w:b/>
              </w:rPr>
              <w:t>Observation</w:t>
            </w:r>
            <w:r>
              <w:rPr>
                <w:b/>
              </w:rPr>
              <w:t xml:space="preserve"> 1</w:t>
            </w:r>
            <w:r w:rsidRPr="00D51650">
              <w:rPr>
                <w:b/>
              </w:rPr>
              <w:t>:</w:t>
            </w:r>
            <w:r w:rsidRPr="00A9286A">
              <w:t xml:space="preserve"> </w:t>
            </w:r>
            <w:r w:rsidRPr="00A9286A">
              <w:rPr>
                <w:i/>
              </w:rPr>
              <w:t>RMSI size with IAB RACH configuration can satisfy the maximum TB size limitation in general configuration scenarios, but it will exceed this value in some configuration scenarios.</w:t>
            </w:r>
          </w:p>
          <w:p w:rsidR="006E5EBF" w:rsidRDefault="006E5EBF" w:rsidP="006E5EBF">
            <w:pPr>
              <w:rPr>
                <w:i/>
                <w:lang w:eastAsia="zh-CN"/>
              </w:rPr>
            </w:pPr>
            <w:r w:rsidRPr="00971589">
              <w:rPr>
                <w:b/>
                <w:lang w:eastAsia="zh-CN"/>
              </w:rPr>
              <w:t>Observation</w:t>
            </w:r>
            <w:r>
              <w:rPr>
                <w:b/>
                <w:lang w:eastAsia="zh-CN"/>
              </w:rPr>
              <w:t xml:space="preserve"> 2</w:t>
            </w:r>
            <w:r w:rsidRPr="00971589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971589">
              <w:rPr>
                <w:i/>
                <w:lang w:eastAsia="zh-CN"/>
              </w:rPr>
              <w:t xml:space="preserve">IAB Backhaul RACH configurations broadcasting </w:t>
            </w:r>
            <w:r>
              <w:rPr>
                <w:i/>
                <w:lang w:eastAsia="zh-CN"/>
              </w:rPr>
              <w:t xml:space="preserve">along </w:t>
            </w:r>
            <w:r w:rsidRPr="00971589">
              <w:rPr>
                <w:i/>
                <w:lang w:eastAsia="zh-CN"/>
              </w:rPr>
              <w:t>with</w:t>
            </w:r>
            <w:r>
              <w:rPr>
                <w:i/>
                <w:lang w:eastAsia="zh-CN"/>
              </w:rPr>
              <w:t xml:space="preserve"> every</w:t>
            </w:r>
            <w:r w:rsidRPr="00971589">
              <w:rPr>
                <w:i/>
                <w:lang w:eastAsia="zh-CN"/>
              </w:rPr>
              <w:t xml:space="preserve"> RMSI has high overhead</w:t>
            </w:r>
            <w:r>
              <w:rPr>
                <w:i/>
                <w:lang w:eastAsia="zh-CN"/>
              </w:rPr>
              <w:t>.</w:t>
            </w:r>
          </w:p>
          <w:p w:rsidR="006E5EBF" w:rsidRDefault="006E5EBF" w:rsidP="006E5EBF">
            <w:pPr>
              <w:rPr>
                <w:lang w:eastAsia="zh-CN"/>
              </w:rPr>
            </w:pPr>
            <w:r w:rsidRPr="00A9286A">
              <w:rPr>
                <w:b/>
                <w:lang w:eastAsia="zh-CN"/>
              </w:rPr>
              <w:t>Observation 3:</w:t>
            </w:r>
            <w:r>
              <w:rPr>
                <w:i/>
                <w:lang w:eastAsia="zh-CN"/>
              </w:rPr>
              <w:t xml:space="preserve"> S</w:t>
            </w:r>
            <w:r w:rsidRPr="00971589">
              <w:rPr>
                <w:i/>
                <w:lang w:eastAsia="zh-CN"/>
              </w:rPr>
              <w:t>hort broadcasting period</w:t>
            </w:r>
            <w:r>
              <w:rPr>
                <w:i/>
                <w:lang w:eastAsia="zh-CN"/>
              </w:rPr>
              <w:t xml:space="preserve"> of RMSI with IAB RACH configuration</w:t>
            </w:r>
            <w:r w:rsidRPr="00971589">
              <w:rPr>
                <w:i/>
                <w:lang w:eastAsia="zh-CN"/>
              </w:rPr>
              <w:t xml:space="preserve"> may be unnecessary</w:t>
            </w:r>
            <w:r>
              <w:rPr>
                <w:lang w:eastAsia="zh-CN"/>
              </w:rPr>
              <w:t>.</w:t>
            </w:r>
          </w:p>
          <w:p w:rsidR="006E5EBF" w:rsidRDefault="006E5EBF" w:rsidP="006E5EBF">
            <w:pPr>
              <w:rPr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Proposal</w:t>
            </w:r>
            <w:r w:rsidRPr="0060725B">
              <w:rPr>
                <w:b/>
                <w:i/>
                <w:lang w:eastAsia="zh-CN"/>
              </w:rPr>
              <w:t>:</w:t>
            </w:r>
            <w:r w:rsidRPr="0060725B">
              <w:rPr>
                <w:i/>
                <w:lang w:eastAsia="zh-CN"/>
              </w:rPr>
              <w:t xml:space="preserve"> </w:t>
            </w:r>
            <w:r w:rsidRPr="004974D2">
              <w:rPr>
                <w:i/>
                <w:lang w:eastAsia="zh-CN"/>
              </w:rPr>
              <w:t>Some enhancements should be considered to reduce the overhead of broadcasting backhaul RACH configurations.</w:t>
            </w:r>
          </w:p>
          <w:p w:rsidR="006E5EBF" w:rsidRDefault="006E5EBF" w:rsidP="006E5EBF">
            <w:pPr>
              <w:pStyle w:val="ListParagraph"/>
              <w:numPr>
                <w:ilvl w:val="0"/>
                <w:numId w:val="11"/>
              </w:numPr>
              <w:overflowPunct/>
              <w:snapToGrid w:val="0"/>
              <w:spacing w:after="120"/>
              <w:contextualSpacing w:val="0"/>
              <w:jc w:val="both"/>
              <w:textAlignment w:val="auto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Option 1:</w:t>
            </w:r>
            <w:r>
              <w:rPr>
                <w:i/>
                <w:lang w:eastAsia="zh-CN"/>
              </w:rPr>
              <w:t xml:space="preserve"> Introduce a flag to indicate the presence of </w:t>
            </w:r>
            <w:r w:rsidRPr="00241803">
              <w:rPr>
                <w:i/>
                <w:lang w:eastAsia="zh-CN"/>
              </w:rPr>
              <w:t>IAB-specific RACH configurations</w:t>
            </w:r>
          </w:p>
          <w:p w:rsidR="00A2060E" w:rsidRPr="006E5EBF" w:rsidRDefault="006E5EBF" w:rsidP="004B4633">
            <w:pPr>
              <w:pStyle w:val="ListParagraph"/>
              <w:numPr>
                <w:ilvl w:val="0"/>
                <w:numId w:val="11"/>
              </w:numPr>
              <w:overflowPunct/>
              <w:snapToGrid w:val="0"/>
              <w:spacing w:after="120"/>
              <w:contextualSpacing w:val="0"/>
              <w:jc w:val="both"/>
              <w:textAlignment w:val="auto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Option 2: Transmit the IAB-specific RACH configurations in OSI</w:t>
            </w:r>
          </w:p>
        </w:tc>
      </w:tr>
      <w:tr w:rsidR="00A2060E" w:rsidTr="006E5EBF">
        <w:tc>
          <w:tcPr>
            <w:tcW w:w="1407" w:type="dxa"/>
          </w:tcPr>
          <w:p w:rsidR="00A2060E" w:rsidRDefault="00A2060E" w:rsidP="004B4633">
            <w:pPr>
              <w:pStyle w:val="maintext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Samsung</w:t>
            </w:r>
          </w:p>
          <w:p w:rsidR="00A2060E" w:rsidRDefault="00A2060E" w:rsidP="004B4633">
            <w:pPr>
              <w:pStyle w:val="maintext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R1-190</w:t>
            </w:r>
            <w:r w:rsidR="006E5EBF">
              <w:rPr>
                <w:lang w:eastAsia="en-US"/>
              </w:rPr>
              <w:t>8472</w:t>
            </w:r>
          </w:p>
        </w:tc>
        <w:tc>
          <w:tcPr>
            <w:tcW w:w="7654" w:type="dxa"/>
          </w:tcPr>
          <w:p w:rsidR="006E5EBF" w:rsidRDefault="006E5EBF" w:rsidP="006E5EBF">
            <w:pPr>
              <w:spacing w:line="360" w:lineRule="auto"/>
              <w:jc w:val="both"/>
              <w:rPr>
                <w:rFonts w:eastAsia="SimSun"/>
                <w:b/>
                <w:i/>
                <w:lang w:eastAsia="zh-CN"/>
              </w:rPr>
            </w:pPr>
            <w:r w:rsidRPr="00AC7A20">
              <w:rPr>
                <w:rFonts w:eastAsia="SimSun"/>
                <w:b/>
                <w:i/>
                <w:lang w:eastAsia="zh-CN"/>
              </w:rPr>
              <w:t>O</w:t>
            </w:r>
            <w:r w:rsidRPr="00AC7A20">
              <w:rPr>
                <w:rFonts w:eastAsia="SimSun" w:hint="eastAsia"/>
                <w:b/>
                <w:i/>
                <w:lang w:eastAsia="zh-CN"/>
              </w:rPr>
              <w:t xml:space="preserve">bservation: the </w:t>
            </w:r>
            <w:r w:rsidRPr="00AC7A20">
              <w:rPr>
                <w:rFonts w:eastAsia="SimSun"/>
                <w:b/>
                <w:i/>
                <w:lang w:eastAsia="zh-CN"/>
              </w:rPr>
              <w:t>energy</w:t>
            </w:r>
            <w:r w:rsidRPr="00AC7A20">
              <w:rPr>
                <w:rFonts w:eastAsia="SimSun" w:hint="eastAsia"/>
                <w:b/>
                <w:i/>
                <w:lang w:eastAsia="zh-CN"/>
              </w:rPr>
              <w:t xml:space="preserve"> waste and processing delay worsen will be created for legacy rel-15 UE if the Rel-15 and rel-16 feature specific </w:t>
            </w:r>
            <w:r w:rsidRPr="00AC7A20">
              <w:rPr>
                <w:rFonts w:eastAsia="SimSun"/>
                <w:b/>
                <w:i/>
                <w:lang w:eastAsia="zh-CN"/>
              </w:rPr>
              <w:t>information</w:t>
            </w:r>
            <w:r w:rsidRPr="00AC7A20">
              <w:rPr>
                <w:rFonts w:eastAsia="SimSun" w:hint="eastAsia"/>
                <w:b/>
                <w:i/>
                <w:lang w:eastAsia="zh-CN"/>
              </w:rPr>
              <w:t xml:space="preserve"> are contained in the same single RMSI PDSCH.</w:t>
            </w:r>
          </w:p>
          <w:p w:rsidR="00A2060E" w:rsidRPr="00DC17C1" w:rsidRDefault="006E5EBF" w:rsidP="006E5EBF">
            <w:pPr>
              <w:spacing w:line="360" w:lineRule="auto"/>
              <w:jc w:val="both"/>
              <w:rPr>
                <w:rFonts w:eastAsia="SimSun"/>
                <w:b/>
                <w:i/>
                <w:lang w:eastAsia="zh-CN"/>
              </w:rPr>
            </w:pPr>
            <w:r w:rsidRPr="006E10CE">
              <w:rPr>
                <w:rFonts w:eastAsia="SimSun" w:hint="eastAsia"/>
                <w:b/>
                <w:i/>
                <w:lang w:eastAsia="zh-CN"/>
              </w:rPr>
              <w:lastRenderedPageBreak/>
              <w:t xml:space="preserve">Proposal: solutions targeting for separating the new </w:t>
            </w:r>
            <w:r w:rsidRPr="006E10CE">
              <w:rPr>
                <w:rFonts w:eastAsia="SimSun"/>
                <w:b/>
                <w:i/>
                <w:lang w:eastAsia="zh-CN"/>
              </w:rPr>
              <w:t>feature</w:t>
            </w:r>
            <w:r w:rsidRPr="006E10CE">
              <w:rPr>
                <w:rFonts w:eastAsia="SimSun" w:hint="eastAsia"/>
                <w:b/>
                <w:i/>
                <w:lang w:eastAsia="zh-CN"/>
              </w:rPr>
              <w:t>-specific configuration from the legacy Rel-15 configuration should be pursued</w:t>
            </w:r>
          </w:p>
        </w:tc>
      </w:tr>
      <w:tr w:rsidR="00A2060E" w:rsidTr="006E5EBF">
        <w:tc>
          <w:tcPr>
            <w:tcW w:w="1407" w:type="dxa"/>
          </w:tcPr>
          <w:p w:rsidR="00A2060E" w:rsidRDefault="00A2060E" w:rsidP="004B4633">
            <w:pPr>
              <w:pStyle w:val="maintext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Intel</w:t>
            </w:r>
          </w:p>
          <w:p w:rsidR="00A2060E" w:rsidRDefault="00A2060E" w:rsidP="004B4633">
            <w:pPr>
              <w:pStyle w:val="maintext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R1-190</w:t>
            </w:r>
            <w:r w:rsidR="001E0DED">
              <w:rPr>
                <w:lang w:eastAsia="en-US"/>
              </w:rPr>
              <w:t>8630</w:t>
            </w:r>
          </w:p>
        </w:tc>
        <w:tc>
          <w:tcPr>
            <w:tcW w:w="7654" w:type="dxa"/>
          </w:tcPr>
          <w:p w:rsidR="00A2060E" w:rsidRPr="00B30736" w:rsidRDefault="00A2060E" w:rsidP="004B4633">
            <w:pPr>
              <w:spacing w:after="60"/>
              <w:jc w:val="both"/>
              <w:rPr>
                <w:lang w:eastAsia="zh-CN"/>
              </w:rPr>
            </w:pPr>
            <w:r w:rsidRPr="00B30736">
              <w:rPr>
                <w:b/>
                <w:lang w:eastAsia="zh-CN"/>
              </w:rPr>
              <w:t>Proposal 1:</w:t>
            </w:r>
            <w:r w:rsidRPr="00B3073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Consider the following two alternative on RACH configuration for</w:t>
            </w:r>
            <w:r w:rsidRPr="00B3073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 IAB node</w:t>
            </w:r>
            <w:r w:rsidRPr="00B30736">
              <w:rPr>
                <w:lang w:eastAsia="zh-CN"/>
              </w:rPr>
              <w:t xml:space="preserve">: </w:t>
            </w:r>
          </w:p>
          <w:p w:rsidR="00A2060E" w:rsidRPr="00B30736" w:rsidRDefault="00A2060E" w:rsidP="00A2060E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60" w:line="259" w:lineRule="auto"/>
              <w:jc w:val="both"/>
              <w:textAlignment w:val="auto"/>
              <w:rPr>
                <w:lang w:eastAsia="zh-CN"/>
              </w:rPr>
            </w:pPr>
            <w:r w:rsidRPr="00B30736">
              <w:rPr>
                <w:lang w:eastAsia="zh-CN"/>
              </w:rPr>
              <w:t xml:space="preserve">Alt 1: </w:t>
            </w:r>
            <w:r>
              <w:rPr>
                <w:lang w:eastAsia="zh-CN"/>
              </w:rPr>
              <w:t>Explicitly signal</w:t>
            </w:r>
            <w:r w:rsidRPr="00B30736">
              <w:rPr>
                <w:lang w:eastAsia="zh-CN"/>
              </w:rPr>
              <w:t xml:space="preserve"> the following information to an IAB node: </w:t>
            </w:r>
          </w:p>
          <w:p w:rsidR="00A2060E" w:rsidRPr="00B30736" w:rsidRDefault="00A2060E" w:rsidP="00A2060E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60" w:line="259" w:lineRule="auto"/>
              <w:jc w:val="both"/>
              <w:textAlignment w:val="auto"/>
              <w:rPr>
                <w:lang w:eastAsia="zh-CN"/>
              </w:rPr>
            </w:pPr>
            <w:r w:rsidRPr="00B30736">
              <w:rPr>
                <w:lang w:eastAsia="zh-CN"/>
              </w:rPr>
              <w:t xml:space="preserve">PRACH configuration index (0-255); </w:t>
            </w:r>
          </w:p>
          <w:p w:rsidR="00A2060E" w:rsidRPr="00B30736" w:rsidRDefault="00A2060E" w:rsidP="00A2060E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60" w:line="259" w:lineRule="auto"/>
              <w:jc w:val="both"/>
              <w:textAlignment w:val="auto"/>
              <w:rPr>
                <w:lang w:eastAsia="zh-CN"/>
              </w:rPr>
            </w:pPr>
            <w:r w:rsidRPr="00B30736">
              <w:rPr>
                <w:lang w:eastAsia="zh-CN"/>
              </w:rPr>
              <w:t xml:space="preserve">scaling factor </w:t>
            </w:r>
            <m:oMath>
              <m:r>
                <w:rPr>
                  <w:rFonts w:ascii="Cambria Math" w:hAnsi="Cambria Math"/>
                  <w:lang w:eastAsia="zh-CN"/>
                </w:rPr>
                <m:t>λ</m:t>
              </m:r>
            </m:oMath>
            <w:r w:rsidRPr="00B30736">
              <w:rPr>
                <w:lang w:eastAsia="zh-CN"/>
              </w:rPr>
              <w:t xml:space="preserve"> (if any); </w:t>
            </w:r>
          </w:p>
          <w:p w:rsidR="00A2060E" w:rsidRPr="00B30736" w:rsidRDefault="00A2060E" w:rsidP="00A2060E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60" w:line="259" w:lineRule="auto"/>
              <w:jc w:val="both"/>
              <w:textAlignment w:val="auto"/>
              <w:rPr>
                <w:lang w:eastAsia="zh-CN"/>
              </w:rPr>
            </w:pPr>
            <w:r w:rsidRPr="00B30736">
              <w:rPr>
                <w:lang w:eastAsia="zh-CN"/>
              </w:rPr>
              <w:t xml:space="preserve">time offset in frames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y</m:t>
              </m:r>
            </m:oMath>
            <w:r w:rsidRPr="00B30736">
              <w:rPr>
                <w:lang w:eastAsia="zh-CN"/>
              </w:rPr>
              <w:t xml:space="preserve"> (if any);</w:t>
            </w:r>
          </w:p>
          <w:p w:rsidR="00A2060E" w:rsidRPr="00B30736" w:rsidRDefault="00A2060E" w:rsidP="00A2060E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60" w:line="259" w:lineRule="auto"/>
              <w:jc w:val="both"/>
              <w:textAlignment w:val="auto"/>
              <w:rPr>
                <w:lang w:eastAsia="zh-CN"/>
              </w:rPr>
            </w:pPr>
            <w:r w:rsidRPr="00B30736">
              <w:rPr>
                <w:lang w:eastAsia="zh-CN"/>
              </w:rPr>
              <w:t xml:space="preserve">time offset in subframes/slots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s</m:t>
              </m:r>
            </m:oMath>
            <w:r w:rsidRPr="00B30736">
              <w:rPr>
                <w:lang w:eastAsia="zh-CN"/>
              </w:rPr>
              <w:t xml:space="preserve"> (if any).</w:t>
            </w:r>
          </w:p>
          <w:p w:rsidR="00A2060E" w:rsidRPr="00041DEB" w:rsidRDefault="00A2060E" w:rsidP="00A2060E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 w:line="259" w:lineRule="auto"/>
              <w:jc w:val="both"/>
              <w:textAlignment w:val="auto"/>
              <w:rPr>
                <w:lang w:eastAsia="zh-CN"/>
              </w:rPr>
            </w:pPr>
            <w:r w:rsidRPr="00B30736">
              <w:rPr>
                <w:lang w:eastAsia="zh-CN"/>
              </w:rPr>
              <w:t xml:space="preserve">Alt 2: </w:t>
            </w:r>
            <w:r>
              <w:rPr>
                <w:lang w:eastAsia="zh-CN"/>
              </w:rPr>
              <w:t xml:space="preserve">Pre-define scaling factor and time offsets for each PRACH configuration index. Signal PRACH configuration index as in Rel-15. No explicit signalling on scaling factor and slot/subframe offsets.  </w:t>
            </w:r>
          </w:p>
          <w:p w:rsidR="00A2060E" w:rsidRPr="00041DEB" w:rsidRDefault="00A2060E" w:rsidP="004B4633">
            <w:pPr>
              <w:spacing w:after="60"/>
              <w:contextualSpacing/>
              <w:jc w:val="both"/>
              <w:rPr>
                <w:lang w:eastAsia="zh-CN"/>
              </w:rPr>
            </w:pPr>
          </w:p>
        </w:tc>
      </w:tr>
      <w:tr w:rsidR="00A2060E" w:rsidTr="006E5EBF">
        <w:tc>
          <w:tcPr>
            <w:tcW w:w="1407" w:type="dxa"/>
          </w:tcPr>
          <w:p w:rsidR="00A2060E" w:rsidRDefault="00F009E1" w:rsidP="004B4633">
            <w:pPr>
              <w:pStyle w:val="maintext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Ericsson</w:t>
            </w:r>
          </w:p>
          <w:p w:rsidR="00A2060E" w:rsidRDefault="00A2060E" w:rsidP="004B4633">
            <w:pPr>
              <w:pStyle w:val="maintext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R1-190</w:t>
            </w:r>
            <w:r w:rsidR="00F009E1">
              <w:rPr>
                <w:lang w:eastAsia="en-US"/>
              </w:rPr>
              <w:t>9025</w:t>
            </w:r>
          </w:p>
        </w:tc>
        <w:tc>
          <w:tcPr>
            <w:tcW w:w="7654" w:type="dxa"/>
          </w:tcPr>
          <w:p w:rsidR="00FE27FB" w:rsidRPr="00FE27FB" w:rsidRDefault="00FE27FB" w:rsidP="00FE27FB">
            <w:pPr>
              <w:spacing w:line="276" w:lineRule="auto"/>
              <w:jc w:val="both"/>
              <w:rPr>
                <w:rFonts w:eastAsia="Malgun Gothic"/>
                <w:b/>
              </w:rPr>
            </w:pPr>
            <w:r w:rsidRPr="00FE27FB">
              <w:rPr>
                <w:rFonts w:eastAsia="Malgun Gothic"/>
                <w:b/>
              </w:rPr>
              <w:t>Proposal 1</w:t>
            </w:r>
            <w:r w:rsidRPr="00FE27FB">
              <w:rPr>
                <w:rFonts w:eastAsia="Malgun Gothic"/>
                <w:b/>
              </w:rPr>
              <w:tab/>
              <w:t>IAB-specific RACH configurations can have a different preamble format, compared to the RACH configuration to be used by Rel-15 UEs for initial access in the same cell.</w:t>
            </w:r>
          </w:p>
          <w:p w:rsidR="00FE27FB" w:rsidRPr="00FE27FB" w:rsidRDefault="00FE27FB" w:rsidP="00FE27FB">
            <w:pPr>
              <w:spacing w:line="276" w:lineRule="auto"/>
              <w:jc w:val="both"/>
              <w:rPr>
                <w:rFonts w:eastAsia="Malgun Gothic"/>
                <w:b/>
              </w:rPr>
            </w:pPr>
            <w:r w:rsidRPr="00FE27FB">
              <w:rPr>
                <w:rFonts w:eastAsia="Malgun Gothic"/>
                <w:b/>
              </w:rPr>
              <w:t>Proposal 2</w:t>
            </w:r>
            <w:r w:rsidRPr="00FE27FB">
              <w:rPr>
                <w:rFonts w:eastAsia="Malgun Gothic"/>
                <w:b/>
              </w:rPr>
              <w:tab/>
              <w:t>Information on IAB-specific RACH configuration, including a preamble format that can be different from the one used by Rel-15 UEs for initial access in the same cell, is broadcasted.</w:t>
            </w:r>
          </w:p>
          <w:p w:rsidR="00A2060E" w:rsidRPr="00FE27FB" w:rsidRDefault="00FE27FB" w:rsidP="00FE27FB">
            <w:pPr>
              <w:spacing w:line="276" w:lineRule="auto"/>
              <w:jc w:val="both"/>
              <w:rPr>
                <w:rFonts w:eastAsia="Malgun Gothic"/>
                <w:b/>
              </w:rPr>
            </w:pPr>
            <w:r w:rsidRPr="00FE27FB">
              <w:rPr>
                <w:rFonts w:eastAsia="Malgun Gothic"/>
                <w:b/>
              </w:rPr>
              <w:t>Proposal 3</w:t>
            </w:r>
            <w:r w:rsidRPr="00FE27FB">
              <w:rPr>
                <w:rFonts w:eastAsia="Malgun Gothic"/>
                <w:b/>
              </w:rPr>
              <w:tab/>
              <w:t>Information on IAB-specific RACH configuration, including a preamble format that can be different from the one used by Rel-15 UEs for initial access in the same cell, is included in SIB1 or a new IAB-specific SIB (to be determined by RAN2).</w:t>
            </w:r>
          </w:p>
        </w:tc>
      </w:tr>
      <w:tr w:rsidR="00FE27FB" w:rsidTr="006E5EBF">
        <w:tc>
          <w:tcPr>
            <w:tcW w:w="1407" w:type="dxa"/>
          </w:tcPr>
          <w:p w:rsidR="00FE27FB" w:rsidRDefault="00FE27FB" w:rsidP="00FE27FB">
            <w:pPr>
              <w:pStyle w:val="maintext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ZTE, </w:t>
            </w:r>
            <w:proofErr w:type="spellStart"/>
            <w:r>
              <w:rPr>
                <w:lang w:eastAsia="en-US"/>
              </w:rPr>
              <w:t>Sanechips</w:t>
            </w:r>
            <w:proofErr w:type="spellEnd"/>
          </w:p>
          <w:p w:rsidR="00FE27FB" w:rsidRDefault="00FE27FB" w:rsidP="00FE27FB">
            <w:pPr>
              <w:pStyle w:val="maintext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R1-1909</w:t>
            </w:r>
            <w:r>
              <w:rPr>
                <w:lang w:eastAsia="en-US"/>
              </w:rPr>
              <w:t>146</w:t>
            </w:r>
          </w:p>
        </w:tc>
        <w:tc>
          <w:tcPr>
            <w:tcW w:w="7654" w:type="dxa"/>
          </w:tcPr>
          <w:p w:rsidR="00C067FF" w:rsidRDefault="00C067FF" w:rsidP="00C067FF">
            <w:pPr>
              <w:ind w:left="990" w:hanging="990"/>
              <w:rPr>
                <w:rFonts w:eastAsia="SimHei"/>
                <w:b/>
                <w:i/>
                <w:lang w:val="en-US" w:eastAsia="zh-CN"/>
              </w:rPr>
            </w:pPr>
            <w:r>
              <w:rPr>
                <w:rFonts w:eastAsia="SimHei"/>
                <w:b/>
                <w:i/>
                <w:lang w:val="en-US" w:eastAsia="zh-CN"/>
              </w:rPr>
              <w:t xml:space="preserve">Proposal </w:t>
            </w:r>
            <w:r>
              <w:rPr>
                <w:rFonts w:eastAsia="SimHei" w:hint="eastAsia"/>
                <w:b/>
                <w:i/>
                <w:lang w:val="en-US" w:eastAsia="zh-CN"/>
              </w:rPr>
              <w:t>1</w:t>
            </w:r>
            <w:r>
              <w:rPr>
                <w:rFonts w:eastAsia="SimHei"/>
                <w:b/>
                <w:i/>
                <w:lang w:val="en-US" w:eastAsia="zh-CN"/>
              </w:rPr>
              <w:t>:</w:t>
            </w:r>
            <w:r>
              <w:rPr>
                <w:rFonts w:eastAsia="SimHei" w:hint="eastAsia"/>
                <w:b/>
                <w:i/>
                <w:lang w:val="en-US" w:eastAsia="zh-CN"/>
              </w:rPr>
              <w:t xml:space="preserve"> </w:t>
            </w:r>
            <w:r>
              <w:rPr>
                <w:rFonts w:eastAsia="SimHei"/>
                <w:b/>
                <w:i/>
                <w:lang w:val="en-US" w:eastAsia="zh-CN"/>
              </w:rPr>
              <w:t xml:space="preserve">At least the following IEs can be provided separately from </w:t>
            </w:r>
            <w:r>
              <w:rPr>
                <w:rFonts w:eastAsia="SimHei" w:hint="eastAsia"/>
                <w:b/>
                <w:i/>
                <w:lang w:val="en-US" w:eastAsia="zh-CN"/>
              </w:rPr>
              <w:t>common RACH configuration for access UEs</w:t>
            </w:r>
            <w:r>
              <w:rPr>
                <w:rFonts w:eastAsia="SimHei"/>
                <w:b/>
                <w:i/>
                <w:lang w:val="en-US" w:eastAsia="zh-CN"/>
              </w:rPr>
              <w:t>.</w:t>
            </w:r>
          </w:p>
          <w:p w:rsidR="00C067FF" w:rsidRPr="009C4C01" w:rsidRDefault="00C067FF" w:rsidP="00C067FF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eastAsia="SimHei"/>
                <w:b/>
                <w:i/>
                <w:lang w:val="en-US" w:eastAsia="zh-CN"/>
              </w:rPr>
            </w:pPr>
            <w:r w:rsidRPr="009C4C01">
              <w:rPr>
                <w:rFonts w:eastAsia="Arial Unicode MS" w:cs="Arial" w:hint="eastAsia"/>
                <w:b/>
                <w:i/>
                <w:iCs/>
                <w:kern w:val="2"/>
                <w:lang w:val="en-US" w:eastAsia="zh-CN"/>
              </w:rPr>
              <w:t>PRACH configuration index</w:t>
            </w:r>
            <w:r w:rsidRPr="009C4C01">
              <w:rPr>
                <w:rFonts w:eastAsia="Arial Unicode MS" w:cs="Arial"/>
                <w:b/>
                <w:i/>
                <w:iCs/>
                <w:kern w:val="2"/>
                <w:lang w:val="en-US" w:eastAsia="zh-CN"/>
              </w:rPr>
              <w:t>;</w:t>
            </w:r>
          </w:p>
          <w:p w:rsidR="00C067FF" w:rsidRPr="009C4C01" w:rsidRDefault="00C067FF" w:rsidP="00C067FF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eastAsia="SimHei"/>
                <w:b/>
                <w:i/>
                <w:lang w:val="en-US" w:eastAsia="zh-CN"/>
              </w:rPr>
            </w:pPr>
            <w:proofErr w:type="spellStart"/>
            <w:r w:rsidRPr="009C4C01">
              <w:rPr>
                <w:rFonts w:eastAsia="SimSun"/>
                <w:b/>
                <w:i/>
                <w:iCs/>
                <w:lang w:eastAsia="zh-CN"/>
              </w:rPr>
              <w:t>prach-RootSequenceInde</w:t>
            </w:r>
            <w:proofErr w:type="spellEnd"/>
            <w:r>
              <w:rPr>
                <w:rFonts w:eastAsia="SimSun" w:hint="eastAsia"/>
                <w:b/>
                <w:i/>
                <w:iCs/>
                <w:lang w:val="en-US" w:eastAsia="zh-CN"/>
              </w:rPr>
              <w:t>x</w:t>
            </w:r>
            <w:r>
              <w:rPr>
                <w:rFonts w:eastAsia="SimSun"/>
                <w:b/>
                <w:i/>
                <w:iCs/>
                <w:lang w:val="en-US" w:eastAsia="zh-CN"/>
              </w:rPr>
              <w:t>;</w:t>
            </w:r>
          </w:p>
          <w:p w:rsidR="00C067FF" w:rsidRPr="009C4C01" w:rsidRDefault="00C067FF" w:rsidP="00C067FF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eastAsia="SimHei"/>
                <w:b/>
                <w:i/>
                <w:lang w:val="en-US" w:eastAsia="zh-CN"/>
              </w:rPr>
            </w:pPr>
            <w:proofErr w:type="spellStart"/>
            <w:r w:rsidRPr="009C4C01">
              <w:rPr>
                <w:rFonts w:eastAsia="SimSun"/>
                <w:b/>
                <w:i/>
                <w:iCs/>
                <w:lang w:eastAsia="zh-CN"/>
              </w:rPr>
              <w:t>zeroCorrelationZoneConfi</w:t>
            </w:r>
            <w:proofErr w:type="spellEnd"/>
            <w:r>
              <w:rPr>
                <w:rFonts w:eastAsia="SimSun" w:hint="eastAsia"/>
                <w:b/>
                <w:i/>
                <w:iCs/>
                <w:lang w:val="en-US" w:eastAsia="zh-CN"/>
              </w:rPr>
              <w:t>g;</w:t>
            </w:r>
          </w:p>
          <w:p w:rsidR="00C067FF" w:rsidRPr="009C4C01" w:rsidRDefault="00C067FF" w:rsidP="00C067FF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eastAsia="SimHei"/>
                <w:b/>
                <w:i/>
                <w:lang w:val="en-US" w:eastAsia="zh-CN"/>
              </w:rPr>
            </w:pPr>
            <w:proofErr w:type="spellStart"/>
            <w:r w:rsidRPr="009C4C01">
              <w:rPr>
                <w:rFonts w:eastAsia="SimSun"/>
                <w:b/>
                <w:i/>
                <w:iCs/>
                <w:lang w:eastAsia="zh-CN"/>
              </w:rPr>
              <w:t>restrictedSetConfig</w:t>
            </w:r>
            <w:proofErr w:type="spellEnd"/>
            <w:r w:rsidRPr="009C4C01">
              <w:rPr>
                <w:rFonts w:eastAsia="SimSun"/>
                <w:b/>
                <w:i/>
                <w:iCs/>
                <w:lang w:eastAsia="zh-CN"/>
              </w:rPr>
              <w:t>;</w:t>
            </w:r>
          </w:p>
          <w:p w:rsidR="00FE27FB" w:rsidRPr="00C067FF" w:rsidRDefault="00C067FF" w:rsidP="00C067FF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eastAsia="SimHei"/>
                <w:b/>
                <w:i/>
                <w:lang w:val="en-US" w:eastAsia="zh-CN"/>
              </w:rPr>
            </w:pPr>
            <w:proofErr w:type="spellStart"/>
            <w:r w:rsidRPr="009C4C01">
              <w:rPr>
                <w:rFonts w:eastAsia="Arial Unicode MS" w:cs="Arial"/>
                <w:b/>
                <w:i/>
                <w:iCs/>
                <w:kern w:val="2"/>
                <w:lang w:val="en-US" w:eastAsia="zh-CN"/>
              </w:rPr>
              <w:t>ssb-perRACH-OccasionAndCB-PreamblesPerSSB</w:t>
            </w:r>
            <w:bookmarkStart w:id="0" w:name="_GoBack"/>
            <w:bookmarkEnd w:id="0"/>
            <w:proofErr w:type="spellEnd"/>
          </w:p>
        </w:tc>
      </w:tr>
    </w:tbl>
    <w:p w:rsidR="00A2060E" w:rsidRDefault="00A2060E" w:rsidP="00A2060E">
      <w:pPr>
        <w:pStyle w:val="maintext"/>
        <w:ind w:left="568" w:firstLine="0"/>
        <w:rPr>
          <w:lang w:eastAsia="en-US"/>
        </w:rPr>
      </w:pPr>
    </w:p>
    <w:p w:rsidR="009F3EFB" w:rsidRDefault="009F3EFB" w:rsidP="002A747F"/>
    <w:p w:rsidR="00D14BA0" w:rsidRDefault="00D14BA0" w:rsidP="00D14BA0">
      <w:pPr>
        <w:pStyle w:val="Heading3"/>
      </w:pPr>
      <w:r>
        <w:t>References</w:t>
      </w:r>
    </w:p>
    <w:p w:rsidR="009F3EFB" w:rsidRPr="00E85AFB" w:rsidRDefault="009F3EFB" w:rsidP="009F3EFB">
      <w:pPr>
        <w:rPr>
          <w:b/>
        </w:rPr>
      </w:pPr>
      <w:r w:rsidRPr="00E85AFB">
        <w:rPr>
          <w:b/>
        </w:rPr>
        <w:t>Agreements from RAN1 #97:</w:t>
      </w:r>
    </w:p>
    <w:p w:rsidR="009F3EFB" w:rsidRDefault="009F3EFB" w:rsidP="009F3EFB">
      <w:pPr>
        <w:ind w:left="1440" w:hanging="1440"/>
        <w:rPr>
          <w:lang w:val="en-US"/>
        </w:rPr>
      </w:pPr>
      <w:r>
        <w:rPr>
          <w:highlight w:val="green"/>
        </w:rPr>
        <w:t>Agreements</w:t>
      </w:r>
      <w:r>
        <w:t>:</w:t>
      </w:r>
    </w:p>
    <w:p w:rsidR="009F3EFB" w:rsidRDefault="009F3EFB" w:rsidP="009F3EFB">
      <w:pPr>
        <w:pStyle w:val="maintext"/>
        <w:ind w:firstLine="400"/>
        <w:rPr>
          <w:rFonts w:ascii="Times" w:hAnsi="Times" w:cs="Times"/>
        </w:rPr>
      </w:pPr>
      <w:r>
        <w:rPr>
          <w:rFonts w:ascii="Times" w:hAnsi="Times" w:cs="Times"/>
        </w:rPr>
        <w:t>The signaling design for the IAB specific backhaul RACH configurations is up to RAN2.</w:t>
      </w:r>
    </w:p>
    <w:p w:rsidR="009F3EFB" w:rsidRDefault="009F3EFB" w:rsidP="009F3EFB">
      <w:pPr>
        <w:pStyle w:val="maintext"/>
        <w:ind w:firstLine="400"/>
        <w:rPr>
          <w:rFonts w:ascii="Times" w:hAnsi="Times" w:cs="Times"/>
        </w:rPr>
      </w:pPr>
      <w:r>
        <w:rPr>
          <w:rFonts w:ascii="Times" w:hAnsi="Times" w:cs="Times"/>
        </w:rPr>
        <w:t>RAN1 has the following recommendations:</w:t>
      </w:r>
    </w:p>
    <w:p w:rsidR="009F3EFB" w:rsidRDefault="009F3EFB" w:rsidP="009F3EFB">
      <w:pPr>
        <w:pStyle w:val="maintext"/>
        <w:numPr>
          <w:ilvl w:val="0"/>
          <w:numId w:val="6"/>
        </w:numPr>
        <w:rPr>
          <w:rFonts w:ascii="Times" w:hAnsi="Times" w:cs="Times"/>
          <w:lang w:eastAsia="en-US"/>
        </w:rPr>
      </w:pPr>
      <w:r>
        <w:rPr>
          <w:rFonts w:ascii="Times" w:hAnsi="Times" w:cs="Times"/>
          <w:lang w:eastAsia="en-US"/>
        </w:rPr>
        <w:t>The ability to configure the IAB specific backhaul RACH configuration additionally to the Rel 15 RACH configuration for access UEs is supported.</w:t>
      </w:r>
    </w:p>
    <w:p w:rsidR="009F3EFB" w:rsidRDefault="009F3EFB" w:rsidP="009F3EFB">
      <w:pPr>
        <w:pStyle w:val="maintext"/>
        <w:numPr>
          <w:ilvl w:val="1"/>
          <w:numId w:val="6"/>
        </w:numPr>
        <w:rPr>
          <w:rFonts w:ascii="Times" w:hAnsi="Times" w:cs="Times"/>
          <w:lang w:eastAsia="en-US"/>
        </w:rPr>
      </w:pPr>
      <w:r>
        <w:rPr>
          <w:rFonts w:ascii="Times" w:hAnsi="Times" w:cs="Times"/>
          <w:lang w:eastAsia="en-US"/>
        </w:rPr>
        <w:t>If the IAB specific RACH configuration is not provided, RAN1 assumes that IAB node will use the configured Rel 15 RACH configuration for IAB node initial access.</w:t>
      </w:r>
    </w:p>
    <w:p w:rsidR="009F3EFB" w:rsidRDefault="009F3EFB" w:rsidP="009F3EFB">
      <w:pPr>
        <w:pStyle w:val="maintext"/>
        <w:numPr>
          <w:ilvl w:val="0"/>
          <w:numId w:val="6"/>
        </w:numPr>
        <w:rPr>
          <w:rFonts w:ascii="Times" w:hAnsi="Times" w:cs="Times"/>
          <w:lang w:eastAsia="en-US"/>
        </w:rPr>
      </w:pPr>
      <w:r>
        <w:rPr>
          <w:rFonts w:ascii="Times" w:hAnsi="Times" w:cs="Times"/>
        </w:rPr>
        <w:t>Capability to configure IAB specific backhaul RACH configurations need to be provided for both CBRA &amp; CFRA.</w:t>
      </w:r>
    </w:p>
    <w:p w:rsidR="009F3EFB" w:rsidRDefault="009F3EFB" w:rsidP="009F3EFB"/>
    <w:p w:rsidR="00EA04CD" w:rsidRDefault="00EA04CD" w:rsidP="00EA04CD">
      <w:pPr>
        <w:ind w:left="1440" w:hanging="1440"/>
        <w:rPr>
          <w:lang w:val="en-US"/>
        </w:rPr>
      </w:pPr>
      <w:r>
        <w:rPr>
          <w:highlight w:val="green"/>
        </w:rPr>
        <w:t>Agreements</w:t>
      </w:r>
      <w:r>
        <w:t>:</w:t>
      </w:r>
    </w:p>
    <w:p w:rsidR="00EA04CD" w:rsidRDefault="00EA04CD" w:rsidP="00EA04CD">
      <w:pPr>
        <w:pStyle w:val="maintext"/>
        <w:ind w:firstLine="400"/>
        <w:rPr>
          <w:rFonts w:ascii="Times" w:hAnsi="Times" w:cs="Times"/>
        </w:rPr>
      </w:pPr>
      <w:r>
        <w:rPr>
          <w:rFonts w:ascii="Times" w:hAnsi="Times" w:cs="Times"/>
        </w:rPr>
        <w:lastRenderedPageBreak/>
        <w:t>The introduction of scaling factor for PRACH configuration period also scales the SSB-RACH association period and association pattern period accordingly.</w:t>
      </w:r>
    </w:p>
    <w:p w:rsidR="00EA04CD" w:rsidRDefault="00EA04CD" w:rsidP="00EA04CD">
      <w:pPr>
        <w:pStyle w:val="maintext"/>
        <w:ind w:firstLine="400"/>
        <w:rPr>
          <w:rFonts w:ascii="Times" w:hAnsi="Times" w:cs="Times"/>
        </w:rPr>
      </w:pPr>
      <w:r>
        <w:rPr>
          <w:rFonts w:ascii="Times" w:hAnsi="Times" w:cs="Times"/>
        </w:rPr>
        <w:t xml:space="preserve">Assuming the scaling factor to be </w:t>
      </w:r>
      <w:r>
        <w:rPr>
          <w:rFonts w:ascii="Times" w:hAnsi="Times" w:hint="eastAsia"/>
        </w:rPr>
        <w:t>λ</w:t>
      </w:r>
      <w:r>
        <w:rPr>
          <w:rFonts w:ascii="Times" w:hAnsi="Times" w:cs="Times"/>
        </w:rPr>
        <w:t>, for IAB nodes table 8.1-1 of 38.213 gets modified to the following:</w:t>
      </w:r>
    </w:p>
    <w:p w:rsidR="00EA04CD" w:rsidRDefault="00EA04CD" w:rsidP="00EA04CD">
      <w:pPr>
        <w:rPr>
          <w:rFonts w:ascii="Times" w:hAnsi="Times" w:cs="Calibri"/>
          <w:i/>
          <w:iCs/>
        </w:rPr>
      </w:pPr>
      <w:r>
        <w:rPr>
          <w:i/>
          <w:iCs/>
        </w:rPr>
        <w:t>Mapping between scaled PRACH Configuration Period (x * λ) and SSB to PRACH Occasion Association Period</w:t>
      </w:r>
    </w:p>
    <w:tbl>
      <w:tblPr>
        <w:tblW w:w="0" w:type="auto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5"/>
        <w:gridCol w:w="3240"/>
      </w:tblGrid>
      <w:tr w:rsidR="00EA04CD" w:rsidTr="00EA04CD">
        <w:tc>
          <w:tcPr>
            <w:tcW w:w="3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4CD" w:rsidRDefault="00EA04CD">
            <w:pPr>
              <w:pStyle w:val="ListParagraph"/>
              <w:ind w:left="800" w:firstLine="442"/>
              <w:jc w:val="center"/>
            </w:pPr>
            <w:r>
              <w:t>Scaled PRACH configuration period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4CD" w:rsidRDefault="00EA04CD">
            <w:pPr>
              <w:pStyle w:val="ListParagraph"/>
              <w:ind w:left="800" w:firstLine="442"/>
              <w:jc w:val="center"/>
            </w:pPr>
            <w:r>
              <w:t>Association period</w:t>
            </w:r>
          </w:p>
        </w:tc>
      </w:tr>
      <w:tr w:rsidR="00EA04CD" w:rsidTr="00EA04CD">
        <w:tc>
          <w:tcPr>
            <w:tcW w:w="3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4CD" w:rsidRDefault="00EA04CD">
            <w:pPr>
              <w:jc w:val="center"/>
            </w:pPr>
            <w: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4CD" w:rsidRDefault="00EA04CD">
            <w:pPr>
              <w:pStyle w:val="ListParagraph"/>
              <w:ind w:left="800" w:firstLine="442"/>
              <w:jc w:val="center"/>
            </w:pPr>
            <w:r>
              <w:t>{1, 2, 4, 8, 16, 32, 64}</w:t>
            </w:r>
          </w:p>
        </w:tc>
      </w:tr>
      <w:tr w:rsidR="00EA04CD" w:rsidTr="00EA04CD">
        <w:tc>
          <w:tcPr>
            <w:tcW w:w="3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4CD" w:rsidRDefault="00EA04CD">
            <w:pPr>
              <w:jc w:val="center"/>
            </w:pPr>
            <w:r>
              <w:t>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4CD" w:rsidRDefault="00EA04CD">
            <w:pPr>
              <w:pStyle w:val="ListParagraph"/>
              <w:ind w:left="800" w:firstLine="442"/>
              <w:jc w:val="center"/>
            </w:pPr>
            <w:r>
              <w:t>{1, 2, 4, 8, 16, 32}</w:t>
            </w:r>
          </w:p>
        </w:tc>
      </w:tr>
      <w:tr w:rsidR="00EA04CD" w:rsidTr="00EA04CD">
        <w:tc>
          <w:tcPr>
            <w:tcW w:w="3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4CD" w:rsidRDefault="00EA04CD">
            <w:pPr>
              <w:jc w:val="center"/>
            </w:pPr>
            <w:r>
              <w:t>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4CD" w:rsidRDefault="00EA04CD">
            <w:pPr>
              <w:pStyle w:val="ListParagraph"/>
              <w:ind w:left="800" w:firstLine="442"/>
              <w:jc w:val="center"/>
            </w:pPr>
            <w:r>
              <w:t>{1, 2, 4, 8, 16}</w:t>
            </w:r>
          </w:p>
        </w:tc>
      </w:tr>
      <w:tr w:rsidR="00EA04CD" w:rsidTr="00EA04CD">
        <w:tc>
          <w:tcPr>
            <w:tcW w:w="3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4CD" w:rsidRDefault="00EA04CD">
            <w:pPr>
              <w:jc w:val="center"/>
            </w:pPr>
            <w:r>
              <w:t>80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4CD" w:rsidRDefault="00EA04CD">
            <w:pPr>
              <w:pStyle w:val="ListParagraph"/>
              <w:ind w:left="800" w:firstLine="442"/>
              <w:jc w:val="center"/>
            </w:pPr>
            <w:r>
              <w:t>{1, 2, 4, 8}</w:t>
            </w:r>
          </w:p>
        </w:tc>
      </w:tr>
      <w:tr w:rsidR="00EA04CD" w:rsidTr="00EA04CD">
        <w:tc>
          <w:tcPr>
            <w:tcW w:w="3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4CD" w:rsidRDefault="00EA04CD">
            <w:pPr>
              <w:jc w:val="center"/>
            </w:pPr>
            <w:r>
              <w:t>160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4CD" w:rsidRDefault="00EA04CD">
            <w:pPr>
              <w:pStyle w:val="ListParagraph"/>
              <w:ind w:left="800" w:firstLine="442"/>
              <w:jc w:val="center"/>
            </w:pPr>
            <w:r>
              <w:t>{1, 2, 4}</w:t>
            </w:r>
          </w:p>
        </w:tc>
      </w:tr>
      <w:tr w:rsidR="00EA04CD" w:rsidTr="00EA04CD">
        <w:tc>
          <w:tcPr>
            <w:tcW w:w="3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4CD" w:rsidRDefault="00EA04CD">
            <w:pPr>
              <w:jc w:val="center"/>
            </w:pPr>
            <w:r>
              <w:t>320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4CD" w:rsidRDefault="00EA04CD">
            <w:pPr>
              <w:pStyle w:val="ListParagraph"/>
              <w:ind w:left="800" w:firstLine="442"/>
              <w:jc w:val="center"/>
            </w:pPr>
            <w:r>
              <w:t>{1, 2}</w:t>
            </w:r>
          </w:p>
        </w:tc>
      </w:tr>
      <w:tr w:rsidR="00EA04CD" w:rsidTr="00EA04CD">
        <w:tc>
          <w:tcPr>
            <w:tcW w:w="3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4CD" w:rsidRDefault="00EA04CD">
            <w:pPr>
              <w:jc w:val="center"/>
            </w:pPr>
            <w:r>
              <w:t>640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4CD" w:rsidRDefault="00EA04CD">
            <w:pPr>
              <w:pStyle w:val="ListParagraph"/>
              <w:ind w:left="800" w:firstLine="442"/>
              <w:jc w:val="center"/>
            </w:pPr>
            <w:r>
              <w:t>{1}</w:t>
            </w:r>
          </w:p>
        </w:tc>
      </w:tr>
    </w:tbl>
    <w:p w:rsidR="00EA04CD" w:rsidRDefault="00EA04CD" w:rsidP="00EA04CD">
      <w:pPr>
        <w:pStyle w:val="ListParagraph"/>
        <w:ind w:left="800" w:firstLine="442"/>
        <w:rPr>
          <w:rFonts w:ascii="Times" w:eastAsiaTheme="minorHAnsi" w:hAnsi="Times"/>
        </w:rPr>
      </w:pPr>
    </w:p>
    <w:p w:rsidR="00EA04CD" w:rsidRDefault="00EA04CD" w:rsidP="00EA04CD">
      <w:pPr>
        <w:pStyle w:val="maintext"/>
        <w:ind w:firstLine="400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</w:rPr>
        <w:t>The definition of the SSB-RACH association pattern period for IAB nodes should be updated as follows: An association pattern period includes one or more association periods and is determined so that a pattern between PRACH occasions and SS/PBCH blocks repeats at most every 640 msec.</w:t>
      </w:r>
    </w:p>
    <w:p w:rsidR="00D14BA0" w:rsidRDefault="00D14BA0" w:rsidP="00652213"/>
    <w:p w:rsidR="00E85AFB" w:rsidRPr="00E85AFB" w:rsidRDefault="00E85AFB" w:rsidP="00E85AFB">
      <w:pPr>
        <w:rPr>
          <w:b/>
        </w:rPr>
      </w:pPr>
      <w:r w:rsidRPr="00E85AFB">
        <w:rPr>
          <w:b/>
        </w:rPr>
        <w:t>Agreements from RAN1 #9</w:t>
      </w:r>
      <w:r>
        <w:rPr>
          <w:b/>
        </w:rPr>
        <w:t>6bis</w:t>
      </w:r>
      <w:r w:rsidRPr="00E85AFB">
        <w:rPr>
          <w:b/>
        </w:rPr>
        <w:t>:</w:t>
      </w:r>
    </w:p>
    <w:p w:rsidR="00BA7C88" w:rsidRDefault="00BA7C88" w:rsidP="009E1DB0"/>
    <w:p w:rsidR="00E85AFB" w:rsidRDefault="00E85AFB" w:rsidP="00E85AFB">
      <w:pPr>
        <w:rPr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:rsidR="00E85AFB" w:rsidRDefault="00E85AFB" w:rsidP="00E85AFB">
      <w:pPr>
        <w:pStyle w:val="maintext"/>
        <w:ind w:firstLine="440"/>
      </w:pPr>
      <w:r>
        <w:rPr>
          <w:rFonts w:hint="eastAsia"/>
        </w:rPr>
        <w:t xml:space="preserve">The periodicity of a backhaul RACH configuration in frames takes the form </w:t>
      </w:r>
      <w:proofErr w:type="spellStart"/>
      <w:r>
        <w:rPr>
          <w:rFonts w:hint="eastAsia"/>
        </w:rPr>
        <w:t>x_iab</w:t>
      </w:r>
      <w:proofErr w:type="spellEnd"/>
      <w:r>
        <w:rPr>
          <w:rFonts w:hint="eastAsia"/>
        </w:rPr>
        <w:t xml:space="preserve"> = x * λ where:</w:t>
      </w:r>
    </w:p>
    <w:p w:rsidR="00E85AFB" w:rsidRDefault="00E85AFB" w:rsidP="00E85AFB">
      <w:pPr>
        <w:pStyle w:val="maintext"/>
        <w:numPr>
          <w:ilvl w:val="0"/>
          <w:numId w:val="8"/>
        </w:numPr>
      </w:pPr>
      <w:r>
        <w:rPr>
          <w:rFonts w:hint="eastAsia"/>
        </w:rPr>
        <w:t>x is the periodicity of an existing RACH configuration,</w:t>
      </w:r>
    </w:p>
    <w:p w:rsidR="00E85AFB" w:rsidRDefault="00E85AFB" w:rsidP="00E85AFB">
      <w:pPr>
        <w:pStyle w:val="maintext"/>
        <w:numPr>
          <w:ilvl w:val="0"/>
          <w:numId w:val="8"/>
        </w:numPr>
      </w:pPr>
      <w:r>
        <w:rPr>
          <w:rFonts w:hint="eastAsia"/>
        </w:rPr>
        <w:t xml:space="preserve">λ is a scaling factor taking values in {1, 2, 4, 8, 16, 32, 64} subject to the constraint </w:t>
      </w:r>
      <w:proofErr w:type="spellStart"/>
      <w:r>
        <w:rPr>
          <w:rFonts w:hint="eastAsia"/>
        </w:rPr>
        <w:t>x_iab</w:t>
      </w:r>
      <w:proofErr w:type="spellEnd"/>
      <w:r>
        <w:rPr>
          <w:rFonts w:hint="eastAsia"/>
        </w:rPr>
        <w:t xml:space="preserve"> ≤ 64.</w:t>
      </w:r>
    </w:p>
    <w:p w:rsidR="00E85AFB" w:rsidRDefault="00E85AFB" w:rsidP="00E85AFB">
      <w:pPr>
        <w:pStyle w:val="maintext"/>
        <w:ind w:left="1160" w:firstLine="0"/>
      </w:pPr>
    </w:p>
    <w:p w:rsidR="00E85AFB" w:rsidRDefault="00E85AFB" w:rsidP="00E85AFB">
      <w:pPr>
        <w:rPr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:rsidR="00E85AFB" w:rsidRDefault="00E85AFB" w:rsidP="00E85AFB">
      <w:pPr>
        <w:pStyle w:val="maintext"/>
        <w:ind w:firstLine="440"/>
        <w:rPr>
          <w:lang w:eastAsia="en-US"/>
        </w:rPr>
      </w:pPr>
      <w:r>
        <w:rPr>
          <w:rFonts w:hint="eastAsia"/>
        </w:rPr>
        <w:t>The frame containing backhaul ROs is identified by (</w:t>
      </w:r>
      <w:proofErr w:type="spellStart"/>
      <w:r>
        <w:rPr>
          <w:rFonts w:hint="eastAsia"/>
        </w:rPr>
        <w:t>n</w:t>
      </w:r>
      <w:r>
        <w:rPr>
          <w:rFonts w:hint="eastAsia"/>
          <w:vertAlign w:val="subscript"/>
        </w:rPr>
        <w:t>SFN</w:t>
      </w:r>
      <w:proofErr w:type="spellEnd"/>
      <w:r>
        <w:rPr>
          <w:rFonts w:hint="eastAsia"/>
        </w:rPr>
        <w:t xml:space="preserve"> mod </w:t>
      </w:r>
      <w:proofErr w:type="spellStart"/>
      <w:r>
        <w:rPr>
          <w:rFonts w:hint="eastAsia"/>
        </w:rPr>
        <w:t>x_iab</w:t>
      </w:r>
      <w:proofErr w:type="spellEnd"/>
      <w:r>
        <w:rPr>
          <w:rFonts w:hint="eastAsia"/>
        </w:rPr>
        <w:t xml:space="preserve">) = ((y + Δy) mod </w:t>
      </w:r>
      <w:proofErr w:type="spellStart"/>
      <w:r>
        <w:rPr>
          <w:rFonts w:hint="eastAsia"/>
        </w:rPr>
        <w:t>x_iab</w:t>
      </w:r>
      <w:proofErr w:type="spellEnd"/>
      <w:r>
        <w:rPr>
          <w:rFonts w:hint="eastAsia"/>
        </w:rPr>
        <w:t xml:space="preserve">) where Δy denotes a time offset in frames taking values in the range from 0 to </w:t>
      </w:r>
      <w:proofErr w:type="spellStart"/>
      <w:r>
        <w:rPr>
          <w:rFonts w:hint="eastAsia"/>
        </w:rPr>
        <w:t>x_iab</w:t>
      </w:r>
      <w:proofErr w:type="spellEnd"/>
      <w:r>
        <w:rPr>
          <w:rFonts w:hint="eastAsia"/>
        </w:rPr>
        <w:t xml:space="preserve"> – 1.</w:t>
      </w:r>
    </w:p>
    <w:p w:rsidR="00E85AFB" w:rsidRDefault="00E85AFB" w:rsidP="00E85AFB">
      <w:pPr>
        <w:rPr>
          <w:lang w:eastAsia="x-none"/>
        </w:rPr>
      </w:pPr>
    </w:p>
    <w:p w:rsidR="00E85AFB" w:rsidRDefault="00E85AFB" w:rsidP="00E85AFB">
      <w:pPr>
        <w:rPr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:rsidR="00E85AFB" w:rsidRDefault="00E85AFB" w:rsidP="00E85AFB">
      <w:pPr>
        <w:pStyle w:val="maintext"/>
        <w:ind w:firstLine="440"/>
      </w:pPr>
      <w:r>
        <w:rPr>
          <w:rFonts w:hint="eastAsia"/>
        </w:rPr>
        <w:t>The subframe (slot) number for a RO of a backhaul RACH configuration is identified by (Sn + Δs,) mod L, where:</w:t>
      </w:r>
    </w:p>
    <w:p w:rsidR="00E85AFB" w:rsidRDefault="00E85AFB" w:rsidP="00E85AFB">
      <w:pPr>
        <w:pStyle w:val="maintext"/>
        <w:numPr>
          <w:ilvl w:val="0"/>
          <w:numId w:val="7"/>
        </w:numPr>
        <w:rPr>
          <w:lang w:eastAsia="en-US"/>
        </w:rPr>
      </w:pPr>
      <w:r>
        <w:rPr>
          <w:rFonts w:hint="eastAsia"/>
        </w:rPr>
        <w:lastRenderedPageBreak/>
        <w:t>Sn is the subframe (slot) number of an existing RACH configuration,</w:t>
      </w:r>
    </w:p>
    <w:p w:rsidR="00E85AFB" w:rsidRDefault="00E85AFB" w:rsidP="00E85AFB">
      <w:pPr>
        <w:pStyle w:val="maintext"/>
        <w:numPr>
          <w:ilvl w:val="0"/>
          <w:numId w:val="7"/>
        </w:numPr>
        <w:rPr>
          <w:lang w:eastAsia="en-US"/>
        </w:rPr>
      </w:pPr>
      <w:r>
        <w:rPr>
          <w:rFonts w:hint="eastAsia"/>
        </w:rPr>
        <w:t>Δs denotes a time offset in subframes (slots) taking values in the range from 0 to L – 1, where L is the number of subframes (slots) in a frame.</w:t>
      </w:r>
    </w:p>
    <w:p w:rsidR="00E85AFB" w:rsidRDefault="00E85AFB" w:rsidP="00E85AFB">
      <w:pPr>
        <w:pStyle w:val="maintext"/>
        <w:ind w:firstLine="440"/>
      </w:pPr>
      <w:r>
        <w:rPr>
          <w:rFonts w:hint="eastAsia"/>
        </w:rPr>
        <w:t>NOTE: The usage of the terms subframe or slot is meant to align to the terminology used in the existing RACH configuration tables in TS 38.211, e.g. subframe in Tables 6.3.3.2-2 and 6.3.3.2-3, and slot in Table 6.3.3.2-4.</w:t>
      </w:r>
    </w:p>
    <w:p w:rsidR="00E85AFB" w:rsidRDefault="00E85AFB" w:rsidP="00E85AFB">
      <w:pPr>
        <w:pStyle w:val="maintext"/>
        <w:ind w:firstLine="440"/>
      </w:pPr>
    </w:p>
    <w:p w:rsidR="00E85AFB" w:rsidRDefault="00E85AFB" w:rsidP="00E85AFB">
      <w:pPr>
        <w:pStyle w:val="maintext"/>
        <w:ind w:firstLine="440"/>
      </w:pPr>
    </w:p>
    <w:p w:rsidR="00E85AFB" w:rsidRDefault="00E85AFB" w:rsidP="00E85AFB">
      <w:pPr>
        <w:rPr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:rsidR="00E85AFB" w:rsidRDefault="00E85AFB" w:rsidP="00E85AFB">
      <w:pPr>
        <w:pStyle w:val="maintext"/>
        <w:ind w:firstLine="440"/>
      </w:pPr>
      <w:r>
        <w:rPr>
          <w:rFonts w:hint="eastAsia"/>
        </w:rPr>
        <w:t>The validity of ROs for backhaul RACH configurations is regulated by the rules defined in Rel-15 for existing RACH configurations.</w:t>
      </w:r>
    </w:p>
    <w:p w:rsidR="00E85AFB" w:rsidRDefault="00E85AFB" w:rsidP="00E85AFB">
      <w:pPr>
        <w:pStyle w:val="maintext"/>
        <w:ind w:firstLine="440"/>
      </w:pPr>
    </w:p>
    <w:p w:rsidR="00E85AFB" w:rsidRDefault="00E85AFB" w:rsidP="00E85AFB">
      <w:pPr>
        <w:rPr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:rsidR="00E85AFB" w:rsidRDefault="00E85AFB" w:rsidP="00E85AFB">
      <w:pPr>
        <w:pStyle w:val="maintext"/>
        <w:ind w:firstLine="440"/>
      </w:pPr>
      <w:r>
        <w:rPr>
          <w:rFonts w:hint="eastAsia"/>
        </w:rPr>
        <w:t xml:space="preserve">Partial overlap of ROs between RACH configurations used in two adjacent links (upstream towards the parent and downstream towards the children from an IAB node perspective) is allowed. </w:t>
      </w:r>
    </w:p>
    <w:p w:rsidR="00E85AFB" w:rsidRDefault="00E85AFB" w:rsidP="00E85AFB">
      <w:pPr>
        <w:pStyle w:val="maintext"/>
        <w:ind w:firstLine="440"/>
      </w:pPr>
      <w:r>
        <w:t xml:space="preserve">      </w:t>
      </w:r>
    </w:p>
    <w:p w:rsidR="00BD62C8" w:rsidRPr="009B5DA9" w:rsidRDefault="00BD62C8" w:rsidP="009E1DB0"/>
    <w:sectPr w:rsidR="00BD62C8" w:rsidRPr="009B5DA9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AD4" w:rsidRDefault="00A54AD4">
      <w:pPr>
        <w:spacing w:after="0"/>
      </w:pPr>
      <w:r>
        <w:separator/>
      </w:r>
    </w:p>
  </w:endnote>
  <w:endnote w:type="continuationSeparator" w:id="0">
    <w:p w:rsidR="00A54AD4" w:rsidRDefault="00A54A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AD4" w:rsidRDefault="00A54AD4">
      <w:pPr>
        <w:spacing w:after="0"/>
      </w:pPr>
      <w:r>
        <w:separator/>
      </w:r>
    </w:p>
  </w:footnote>
  <w:footnote w:type="continuationSeparator" w:id="0">
    <w:p w:rsidR="00A54AD4" w:rsidRDefault="00A54A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768" w:rsidRDefault="00A957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C2B60"/>
    <w:multiLevelType w:val="hybridMultilevel"/>
    <w:tmpl w:val="66B24DE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E7605F"/>
    <w:multiLevelType w:val="hybridMultilevel"/>
    <w:tmpl w:val="68BC6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8B07B"/>
    <w:multiLevelType w:val="singleLevel"/>
    <w:tmpl w:val="1D48B07B"/>
    <w:lvl w:ilvl="0">
      <w:start w:val="1"/>
      <w:numFmt w:val="bullet"/>
      <w:lvlText w:val="−"/>
      <w:lvlJc w:val="left"/>
      <w:pPr>
        <w:ind w:left="720" w:hanging="360"/>
      </w:pPr>
      <w:rPr>
        <w:rFonts w:ascii="Arial" w:hAnsi="Arial" w:cs="Arial" w:hint="default"/>
      </w:rPr>
    </w:lvl>
  </w:abstractNum>
  <w:abstractNum w:abstractNumId="3" w15:restartNumberingAfterBreak="0">
    <w:nsid w:val="1DDA5917"/>
    <w:multiLevelType w:val="hybridMultilevel"/>
    <w:tmpl w:val="07D60A3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" w15:restartNumberingAfterBreak="0">
    <w:nsid w:val="25351E38"/>
    <w:multiLevelType w:val="hybridMultilevel"/>
    <w:tmpl w:val="89E0F76A"/>
    <w:lvl w:ilvl="0" w:tplc="6A7A23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5A7F7E"/>
    <w:multiLevelType w:val="hybridMultilevel"/>
    <w:tmpl w:val="8C56251E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" w15:restartNumberingAfterBreak="0">
    <w:nsid w:val="4B7D2F61"/>
    <w:multiLevelType w:val="hybridMultilevel"/>
    <w:tmpl w:val="BDECB41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054E85"/>
    <w:multiLevelType w:val="hybridMultilevel"/>
    <w:tmpl w:val="A924583C"/>
    <w:lvl w:ilvl="0" w:tplc="D790373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DAF4845"/>
    <w:multiLevelType w:val="hybridMultilevel"/>
    <w:tmpl w:val="9BE29A14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9" w15:restartNumberingAfterBreak="0">
    <w:nsid w:val="65AB10DD"/>
    <w:multiLevelType w:val="hybridMultilevel"/>
    <w:tmpl w:val="3F700E6C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6982324"/>
    <w:multiLevelType w:val="hybridMultilevel"/>
    <w:tmpl w:val="9C3408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287520"/>
    <w:multiLevelType w:val="hybridMultilevel"/>
    <w:tmpl w:val="2DBE3F7C"/>
    <w:lvl w:ilvl="0" w:tplc="DE748E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1"/>
  </w:num>
  <w:num w:numId="5">
    <w:abstractNumId w:val="6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8"/>
  </w:num>
  <w:num w:numId="9">
    <w:abstractNumId w:val="1"/>
  </w:num>
  <w:num w:numId="10">
    <w:abstractNumId w:val="0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hideSpellingErrors/>
  <w:activeWritingStyle w:appName="MSWord" w:lang="en-GB" w:vendorID="64" w:dllVersion="0" w:nlCheck="1" w:checkStyle="0"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EAC"/>
    <w:rsid w:val="00007B6D"/>
    <w:rsid w:val="00013C33"/>
    <w:rsid w:val="000433D1"/>
    <w:rsid w:val="000952DC"/>
    <w:rsid w:val="000A54B4"/>
    <w:rsid w:val="000C1B14"/>
    <w:rsid w:val="000D08DE"/>
    <w:rsid w:val="000D1557"/>
    <w:rsid w:val="000D3889"/>
    <w:rsid w:val="001209F7"/>
    <w:rsid w:val="0012597C"/>
    <w:rsid w:val="00131C46"/>
    <w:rsid w:val="001479C1"/>
    <w:rsid w:val="001A4207"/>
    <w:rsid w:val="001A4E01"/>
    <w:rsid w:val="001E0DED"/>
    <w:rsid w:val="00201C93"/>
    <w:rsid w:val="002208A7"/>
    <w:rsid w:val="00221B24"/>
    <w:rsid w:val="002349E6"/>
    <w:rsid w:val="0028666A"/>
    <w:rsid w:val="00292489"/>
    <w:rsid w:val="002A6F13"/>
    <w:rsid w:val="002A747F"/>
    <w:rsid w:val="002B25D9"/>
    <w:rsid w:val="002B4616"/>
    <w:rsid w:val="002C70B3"/>
    <w:rsid w:val="002E7E1E"/>
    <w:rsid w:val="00320A5A"/>
    <w:rsid w:val="00351C6C"/>
    <w:rsid w:val="003646BC"/>
    <w:rsid w:val="00391CE4"/>
    <w:rsid w:val="00394956"/>
    <w:rsid w:val="003A0F89"/>
    <w:rsid w:val="003B70D7"/>
    <w:rsid w:val="003B7C0E"/>
    <w:rsid w:val="003F7BA1"/>
    <w:rsid w:val="00402E59"/>
    <w:rsid w:val="0041035F"/>
    <w:rsid w:val="00422CFF"/>
    <w:rsid w:val="0043366F"/>
    <w:rsid w:val="00441789"/>
    <w:rsid w:val="004635EF"/>
    <w:rsid w:val="00465BF8"/>
    <w:rsid w:val="004750C4"/>
    <w:rsid w:val="004A59B1"/>
    <w:rsid w:val="004C133D"/>
    <w:rsid w:val="004D1EBF"/>
    <w:rsid w:val="004F4239"/>
    <w:rsid w:val="00500536"/>
    <w:rsid w:val="00532A09"/>
    <w:rsid w:val="005603E9"/>
    <w:rsid w:val="00591F4F"/>
    <w:rsid w:val="005B2FBA"/>
    <w:rsid w:val="005B3CC4"/>
    <w:rsid w:val="005C56FA"/>
    <w:rsid w:val="005C7A37"/>
    <w:rsid w:val="005D6344"/>
    <w:rsid w:val="005D7E88"/>
    <w:rsid w:val="005F0157"/>
    <w:rsid w:val="00626721"/>
    <w:rsid w:val="00652213"/>
    <w:rsid w:val="006547F1"/>
    <w:rsid w:val="00673C8D"/>
    <w:rsid w:val="006A7B67"/>
    <w:rsid w:val="006B22CD"/>
    <w:rsid w:val="006D34A0"/>
    <w:rsid w:val="006E5EBF"/>
    <w:rsid w:val="007144BE"/>
    <w:rsid w:val="00716DF0"/>
    <w:rsid w:val="007458D9"/>
    <w:rsid w:val="0076589E"/>
    <w:rsid w:val="007874EB"/>
    <w:rsid w:val="00806EAC"/>
    <w:rsid w:val="00821BB4"/>
    <w:rsid w:val="00897207"/>
    <w:rsid w:val="008A59E9"/>
    <w:rsid w:val="008F2768"/>
    <w:rsid w:val="00942324"/>
    <w:rsid w:val="00971EDC"/>
    <w:rsid w:val="009739A5"/>
    <w:rsid w:val="00977181"/>
    <w:rsid w:val="009845F0"/>
    <w:rsid w:val="009A76B8"/>
    <w:rsid w:val="009B5DA9"/>
    <w:rsid w:val="009D5D51"/>
    <w:rsid w:val="009E1DB0"/>
    <w:rsid w:val="009F3EFB"/>
    <w:rsid w:val="00A11C09"/>
    <w:rsid w:val="00A2060E"/>
    <w:rsid w:val="00A245F7"/>
    <w:rsid w:val="00A54AD4"/>
    <w:rsid w:val="00A95747"/>
    <w:rsid w:val="00AA1ADD"/>
    <w:rsid w:val="00AA42A1"/>
    <w:rsid w:val="00AB032B"/>
    <w:rsid w:val="00AC7908"/>
    <w:rsid w:val="00AC7961"/>
    <w:rsid w:val="00AD60B8"/>
    <w:rsid w:val="00AE1D96"/>
    <w:rsid w:val="00AF0340"/>
    <w:rsid w:val="00B03A61"/>
    <w:rsid w:val="00B04781"/>
    <w:rsid w:val="00B107DA"/>
    <w:rsid w:val="00B171E8"/>
    <w:rsid w:val="00B6248F"/>
    <w:rsid w:val="00B64EC6"/>
    <w:rsid w:val="00BA3075"/>
    <w:rsid w:val="00BA4B2B"/>
    <w:rsid w:val="00BA7C88"/>
    <w:rsid w:val="00BD62C8"/>
    <w:rsid w:val="00BF1D96"/>
    <w:rsid w:val="00C03071"/>
    <w:rsid w:val="00C067FF"/>
    <w:rsid w:val="00C229D6"/>
    <w:rsid w:val="00C3686F"/>
    <w:rsid w:val="00C420DC"/>
    <w:rsid w:val="00C45E10"/>
    <w:rsid w:val="00C671F1"/>
    <w:rsid w:val="00C96332"/>
    <w:rsid w:val="00CB0267"/>
    <w:rsid w:val="00CD131B"/>
    <w:rsid w:val="00CE0EAD"/>
    <w:rsid w:val="00D14BA0"/>
    <w:rsid w:val="00D37BAC"/>
    <w:rsid w:val="00D534C4"/>
    <w:rsid w:val="00D95372"/>
    <w:rsid w:val="00DC40EF"/>
    <w:rsid w:val="00E07575"/>
    <w:rsid w:val="00E3795C"/>
    <w:rsid w:val="00E46AC4"/>
    <w:rsid w:val="00E676C3"/>
    <w:rsid w:val="00E757D7"/>
    <w:rsid w:val="00E8137B"/>
    <w:rsid w:val="00E85AFB"/>
    <w:rsid w:val="00EA04CD"/>
    <w:rsid w:val="00EA185B"/>
    <w:rsid w:val="00EC2508"/>
    <w:rsid w:val="00ED2B30"/>
    <w:rsid w:val="00F00022"/>
    <w:rsid w:val="00F001F4"/>
    <w:rsid w:val="00F009E1"/>
    <w:rsid w:val="00F250E7"/>
    <w:rsid w:val="00F33CF5"/>
    <w:rsid w:val="00F375B1"/>
    <w:rsid w:val="00F72A8F"/>
    <w:rsid w:val="00F747AD"/>
    <w:rsid w:val="00F95605"/>
    <w:rsid w:val="00FD69B5"/>
    <w:rsid w:val="00FE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BBD816"/>
  <w15:chartTrackingRefBased/>
  <w15:docId w15:val="{2C13F54D-D007-4646-B39F-029AB3F96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5D7E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D7E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D7E8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D7E8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D7E8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D7E88"/>
    <w:pPr>
      <w:outlineLvl w:val="5"/>
    </w:pPr>
  </w:style>
  <w:style w:type="paragraph" w:styleId="Heading7">
    <w:name w:val="heading 7"/>
    <w:basedOn w:val="H6"/>
    <w:next w:val="Normal"/>
    <w:qFormat/>
    <w:rsid w:val="005D7E88"/>
    <w:pPr>
      <w:outlineLvl w:val="6"/>
    </w:pPr>
  </w:style>
  <w:style w:type="paragraph" w:styleId="Heading8">
    <w:name w:val="heading 8"/>
    <w:basedOn w:val="Heading1"/>
    <w:next w:val="Normal"/>
    <w:qFormat/>
    <w:rsid w:val="005D7E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7E88"/>
    <w:pPr>
      <w:outlineLvl w:val="8"/>
    </w:pPr>
  </w:style>
  <w:style w:type="character" w:default="1" w:styleId="DefaultParagraphFont">
    <w:name w:val="Default Paragraph Font"/>
    <w:semiHidden/>
    <w:rsid w:val="005D7E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7E88"/>
  </w:style>
  <w:style w:type="paragraph" w:styleId="TOC8">
    <w:name w:val="toc 8"/>
    <w:basedOn w:val="TOC1"/>
    <w:semiHidden/>
    <w:rsid w:val="005D7E88"/>
    <w:pPr>
      <w:spacing w:before="180"/>
      <w:ind w:left="2693" w:hanging="2693"/>
    </w:pPr>
    <w:rPr>
      <w:b/>
    </w:rPr>
  </w:style>
  <w:style w:type="paragraph" w:styleId="TOC1">
    <w:name w:val="toc 1"/>
    <w:semiHidden/>
    <w:rsid w:val="005D7E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D7E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D7E88"/>
    <w:pPr>
      <w:ind w:left="1701" w:hanging="1701"/>
    </w:pPr>
  </w:style>
  <w:style w:type="paragraph" w:styleId="TOC4">
    <w:name w:val="toc 4"/>
    <w:basedOn w:val="TOC3"/>
    <w:semiHidden/>
    <w:rsid w:val="005D7E88"/>
    <w:pPr>
      <w:ind w:left="1418" w:hanging="1418"/>
    </w:pPr>
  </w:style>
  <w:style w:type="paragraph" w:styleId="TOC3">
    <w:name w:val="toc 3"/>
    <w:basedOn w:val="TOC2"/>
    <w:semiHidden/>
    <w:rsid w:val="005D7E88"/>
    <w:pPr>
      <w:ind w:left="1134" w:hanging="1134"/>
    </w:pPr>
  </w:style>
  <w:style w:type="paragraph" w:styleId="TOC2">
    <w:name w:val="toc 2"/>
    <w:basedOn w:val="TOC1"/>
    <w:semiHidden/>
    <w:rsid w:val="005D7E8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D7E88"/>
    <w:pPr>
      <w:ind w:left="284"/>
    </w:pPr>
  </w:style>
  <w:style w:type="paragraph" w:styleId="Index1">
    <w:name w:val="index 1"/>
    <w:basedOn w:val="Normal"/>
    <w:semiHidden/>
    <w:rsid w:val="005D7E88"/>
    <w:pPr>
      <w:keepLines/>
      <w:spacing w:after="0"/>
    </w:pPr>
  </w:style>
  <w:style w:type="paragraph" w:customStyle="1" w:styleId="ZH">
    <w:name w:val="ZH"/>
    <w:rsid w:val="005D7E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D7E88"/>
    <w:pPr>
      <w:outlineLvl w:val="9"/>
    </w:pPr>
  </w:style>
  <w:style w:type="paragraph" w:styleId="ListNumber2">
    <w:name w:val="List Number 2"/>
    <w:basedOn w:val="ListNumber"/>
    <w:semiHidden/>
    <w:rsid w:val="005D7E88"/>
    <w:pPr>
      <w:ind w:left="851"/>
    </w:pPr>
  </w:style>
  <w:style w:type="paragraph" w:styleId="Header">
    <w:name w:val="header"/>
    <w:semiHidden/>
    <w:rsid w:val="005D7E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5D7E88"/>
    <w:rPr>
      <w:b/>
      <w:position w:val="6"/>
      <w:sz w:val="16"/>
    </w:rPr>
  </w:style>
  <w:style w:type="paragraph" w:styleId="FootnoteText">
    <w:name w:val="footnote text"/>
    <w:basedOn w:val="Normal"/>
    <w:semiHidden/>
    <w:rsid w:val="005D7E8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D7E88"/>
    <w:rPr>
      <w:b/>
    </w:rPr>
  </w:style>
  <w:style w:type="paragraph" w:customStyle="1" w:styleId="TAC">
    <w:name w:val="TAC"/>
    <w:basedOn w:val="TAL"/>
    <w:rsid w:val="005D7E88"/>
    <w:pPr>
      <w:jc w:val="center"/>
    </w:pPr>
  </w:style>
  <w:style w:type="paragraph" w:customStyle="1" w:styleId="TF">
    <w:name w:val="TF"/>
    <w:basedOn w:val="TH"/>
    <w:rsid w:val="005D7E88"/>
    <w:pPr>
      <w:keepNext w:val="0"/>
      <w:spacing w:before="0" w:after="240"/>
    </w:pPr>
  </w:style>
  <w:style w:type="paragraph" w:customStyle="1" w:styleId="NO">
    <w:name w:val="NO"/>
    <w:basedOn w:val="Normal"/>
    <w:rsid w:val="005D7E88"/>
    <w:pPr>
      <w:keepLines/>
      <w:ind w:left="1135" w:hanging="851"/>
    </w:pPr>
  </w:style>
  <w:style w:type="paragraph" w:styleId="TOC9">
    <w:name w:val="toc 9"/>
    <w:basedOn w:val="TOC8"/>
    <w:semiHidden/>
    <w:rsid w:val="005D7E88"/>
    <w:pPr>
      <w:ind w:left="1418" w:hanging="1418"/>
    </w:pPr>
  </w:style>
  <w:style w:type="paragraph" w:customStyle="1" w:styleId="EX">
    <w:name w:val="EX"/>
    <w:basedOn w:val="Normal"/>
    <w:rsid w:val="005D7E88"/>
    <w:pPr>
      <w:keepLines/>
      <w:ind w:left="1702" w:hanging="1418"/>
    </w:pPr>
  </w:style>
  <w:style w:type="paragraph" w:customStyle="1" w:styleId="FP">
    <w:name w:val="FP"/>
    <w:basedOn w:val="Normal"/>
    <w:rsid w:val="005D7E88"/>
    <w:pPr>
      <w:spacing w:after="0"/>
    </w:pPr>
  </w:style>
  <w:style w:type="paragraph" w:customStyle="1" w:styleId="LD">
    <w:name w:val="LD"/>
    <w:rsid w:val="005D7E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D7E88"/>
    <w:pPr>
      <w:spacing w:after="0"/>
    </w:pPr>
  </w:style>
  <w:style w:type="paragraph" w:customStyle="1" w:styleId="EW">
    <w:name w:val="EW"/>
    <w:basedOn w:val="EX"/>
    <w:rsid w:val="005D7E88"/>
    <w:pPr>
      <w:spacing w:after="0"/>
    </w:pPr>
  </w:style>
  <w:style w:type="paragraph" w:styleId="TOC6">
    <w:name w:val="toc 6"/>
    <w:basedOn w:val="TOC5"/>
    <w:next w:val="Normal"/>
    <w:semiHidden/>
    <w:rsid w:val="005D7E88"/>
    <w:pPr>
      <w:ind w:left="1985" w:hanging="1985"/>
    </w:pPr>
  </w:style>
  <w:style w:type="paragraph" w:styleId="TOC7">
    <w:name w:val="toc 7"/>
    <w:basedOn w:val="TOC6"/>
    <w:next w:val="Normal"/>
    <w:semiHidden/>
    <w:rsid w:val="005D7E88"/>
    <w:pPr>
      <w:ind w:left="2268" w:hanging="2268"/>
    </w:pPr>
  </w:style>
  <w:style w:type="paragraph" w:styleId="ListBullet2">
    <w:name w:val="List Bullet 2"/>
    <w:basedOn w:val="ListBullet"/>
    <w:semiHidden/>
    <w:rsid w:val="005D7E88"/>
    <w:pPr>
      <w:ind w:left="851"/>
    </w:pPr>
  </w:style>
  <w:style w:type="paragraph" w:styleId="ListBullet3">
    <w:name w:val="List Bullet 3"/>
    <w:basedOn w:val="ListBullet2"/>
    <w:semiHidden/>
    <w:rsid w:val="005D7E88"/>
    <w:pPr>
      <w:ind w:left="1135"/>
    </w:pPr>
  </w:style>
  <w:style w:type="paragraph" w:styleId="ListNumber">
    <w:name w:val="List Number"/>
    <w:basedOn w:val="List"/>
    <w:semiHidden/>
    <w:rsid w:val="005D7E88"/>
  </w:style>
  <w:style w:type="paragraph" w:customStyle="1" w:styleId="EQ">
    <w:name w:val="EQ"/>
    <w:basedOn w:val="Normal"/>
    <w:next w:val="Normal"/>
    <w:rsid w:val="005D7E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D7E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7E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7E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D7E88"/>
    <w:pPr>
      <w:jc w:val="right"/>
    </w:pPr>
  </w:style>
  <w:style w:type="paragraph" w:customStyle="1" w:styleId="H6">
    <w:name w:val="H6"/>
    <w:basedOn w:val="Heading5"/>
    <w:next w:val="Normal"/>
    <w:rsid w:val="005D7E8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7E88"/>
    <w:pPr>
      <w:ind w:left="851" w:hanging="851"/>
    </w:pPr>
  </w:style>
  <w:style w:type="paragraph" w:customStyle="1" w:styleId="TAL">
    <w:name w:val="TAL"/>
    <w:basedOn w:val="Normal"/>
    <w:rsid w:val="005D7E8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7E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D7E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D7E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D7E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D7E88"/>
    <w:pPr>
      <w:framePr w:wrap="notBeside" w:y="16161"/>
    </w:pPr>
  </w:style>
  <w:style w:type="character" w:customStyle="1" w:styleId="ZGSM">
    <w:name w:val="ZGSM"/>
    <w:rsid w:val="005D7E88"/>
  </w:style>
  <w:style w:type="paragraph" w:styleId="List2">
    <w:name w:val="List 2"/>
    <w:basedOn w:val="List"/>
    <w:semiHidden/>
    <w:rsid w:val="005D7E88"/>
    <w:pPr>
      <w:ind w:left="851"/>
    </w:pPr>
  </w:style>
  <w:style w:type="paragraph" w:customStyle="1" w:styleId="ZG">
    <w:name w:val="ZG"/>
    <w:rsid w:val="005D7E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D7E88"/>
    <w:pPr>
      <w:ind w:left="1135"/>
    </w:pPr>
  </w:style>
  <w:style w:type="paragraph" w:styleId="List4">
    <w:name w:val="List 4"/>
    <w:basedOn w:val="List3"/>
    <w:semiHidden/>
    <w:rsid w:val="005D7E88"/>
    <w:pPr>
      <w:ind w:left="1418"/>
    </w:pPr>
  </w:style>
  <w:style w:type="paragraph" w:styleId="List5">
    <w:name w:val="List 5"/>
    <w:basedOn w:val="List4"/>
    <w:semiHidden/>
    <w:rsid w:val="005D7E88"/>
    <w:pPr>
      <w:ind w:left="1702"/>
    </w:pPr>
  </w:style>
  <w:style w:type="paragraph" w:customStyle="1" w:styleId="EditorsNote">
    <w:name w:val="Editor's Note"/>
    <w:basedOn w:val="NO"/>
    <w:rsid w:val="005D7E88"/>
    <w:rPr>
      <w:color w:val="FF0000"/>
    </w:rPr>
  </w:style>
  <w:style w:type="paragraph" w:styleId="List">
    <w:name w:val="List"/>
    <w:basedOn w:val="Normal"/>
    <w:semiHidden/>
    <w:rsid w:val="005D7E88"/>
    <w:pPr>
      <w:ind w:left="568" w:hanging="284"/>
    </w:pPr>
  </w:style>
  <w:style w:type="paragraph" w:styleId="ListBullet">
    <w:name w:val="List Bullet"/>
    <w:basedOn w:val="List"/>
    <w:semiHidden/>
    <w:rsid w:val="005D7E88"/>
  </w:style>
  <w:style w:type="paragraph" w:styleId="ListBullet4">
    <w:name w:val="List Bullet 4"/>
    <w:basedOn w:val="ListBullet3"/>
    <w:semiHidden/>
    <w:rsid w:val="005D7E88"/>
    <w:pPr>
      <w:ind w:left="1418"/>
    </w:pPr>
  </w:style>
  <w:style w:type="paragraph" w:styleId="ListBullet5">
    <w:name w:val="List Bullet 5"/>
    <w:basedOn w:val="ListBullet4"/>
    <w:semiHidden/>
    <w:rsid w:val="005D7E88"/>
    <w:pPr>
      <w:ind w:left="1702"/>
    </w:pPr>
  </w:style>
  <w:style w:type="paragraph" w:customStyle="1" w:styleId="B1">
    <w:name w:val="B1"/>
    <w:basedOn w:val="List"/>
    <w:rsid w:val="005D7E88"/>
  </w:style>
  <w:style w:type="paragraph" w:customStyle="1" w:styleId="B2">
    <w:name w:val="B2"/>
    <w:basedOn w:val="List2"/>
    <w:rsid w:val="005D7E88"/>
  </w:style>
  <w:style w:type="paragraph" w:customStyle="1" w:styleId="B3">
    <w:name w:val="B3"/>
    <w:basedOn w:val="List3"/>
    <w:rsid w:val="005D7E88"/>
  </w:style>
  <w:style w:type="paragraph" w:customStyle="1" w:styleId="B4">
    <w:name w:val="B4"/>
    <w:basedOn w:val="List4"/>
    <w:rsid w:val="005D7E88"/>
  </w:style>
  <w:style w:type="paragraph" w:customStyle="1" w:styleId="B5">
    <w:name w:val="B5"/>
    <w:basedOn w:val="List5"/>
    <w:rsid w:val="005D7E88"/>
  </w:style>
  <w:style w:type="paragraph" w:styleId="Footer">
    <w:name w:val="footer"/>
    <w:basedOn w:val="Header"/>
    <w:semiHidden/>
    <w:rsid w:val="005D7E88"/>
    <w:pPr>
      <w:jc w:val="center"/>
    </w:pPr>
    <w:rPr>
      <w:i/>
    </w:rPr>
  </w:style>
  <w:style w:type="paragraph" w:customStyle="1" w:styleId="ZTD">
    <w:name w:val="ZTD"/>
    <w:basedOn w:val="ZB"/>
    <w:rsid w:val="005D7E88"/>
    <w:pPr>
      <w:framePr w:hRule="auto" w:wrap="notBeside" w:y="852"/>
    </w:pPr>
    <w:rPr>
      <w:i w:val="0"/>
      <w:sz w:val="40"/>
    </w:rPr>
  </w:style>
  <w:style w:type="character" w:styleId="Strong">
    <w:name w:val="Strong"/>
    <w:uiPriority w:val="22"/>
    <w:qFormat/>
    <w:rsid w:val="00806EAC"/>
    <w:rPr>
      <w:b/>
      <w:bCs/>
    </w:rPr>
  </w:style>
  <w:style w:type="character" w:styleId="BookTitle">
    <w:name w:val="Book Title"/>
    <w:basedOn w:val="DefaultParagraphFont"/>
    <w:uiPriority w:val="33"/>
    <w:qFormat/>
    <w:rsid w:val="00806EAC"/>
    <w:rPr>
      <w:b/>
      <w:bCs/>
      <w:i/>
      <w:iCs/>
      <w:spacing w:val="5"/>
    </w:rPr>
  </w:style>
  <w:style w:type="character" w:styleId="Emphasis">
    <w:name w:val="Emphasis"/>
    <w:basedOn w:val="DefaultParagraphFont"/>
    <w:uiPriority w:val="20"/>
    <w:qFormat/>
    <w:rsid w:val="00806EAC"/>
    <w:rPr>
      <w:i/>
      <w:iCs/>
    </w:rPr>
  </w:style>
  <w:style w:type="character" w:styleId="IntenseReference">
    <w:name w:val="Intense Reference"/>
    <w:basedOn w:val="DefaultParagraphFont"/>
    <w:uiPriority w:val="32"/>
    <w:qFormat/>
    <w:rsid w:val="00806EAC"/>
    <w:rPr>
      <w:b/>
      <w:bCs/>
      <w:smallCaps/>
      <w:color w:val="4472C4" w:themeColor="accent1"/>
      <w:spacing w:val="5"/>
    </w:rPr>
  </w:style>
  <w:style w:type="paragraph" w:styleId="Title">
    <w:name w:val="Title"/>
    <w:basedOn w:val="Normal"/>
    <w:next w:val="Normal"/>
    <w:link w:val="TitleChar"/>
    <w:uiPriority w:val="10"/>
    <w:qFormat/>
    <w:rsid w:val="002B461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461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46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B46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977181"/>
    <w:rPr>
      <w:color w:val="808080"/>
    </w:rPr>
  </w:style>
  <w:style w:type="character" w:styleId="IntenseEmphasis">
    <w:name w:val="Intense Emphasis"/>
    <w:basedOn w:val="DefaultParagraphFont"/>
    <w:uiPriority w:val="21"/>
    <w:qFormat/>
    <w:rsid w:val="004F4239"/>
    <w:rPr>
      <w:i/>
      <w:iCs/>
      <w:color w:val="4472C4" w:themeColor="accent1"/>
    </w:rPr>
  </w:style>
  <w:style w:type="paragraph" w:styleId="ListParagraph">
    <w:name w:val="List Paragraph"/>
    <w:aliases w:val="- Bullets,?? ??,?????,????,Lista1,列出段落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2349E6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465BF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maintextChar">
    <w:name w:val="main text Char"/>
    <w:basedOn w:val="DefaultParagraphFont"/>
    <w:link w:val="maintext"/>
    <w:qFormat/>
    <w:locked/>
    <w:rsid w:val="009F3EFB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9F3EFB"/>
    <w:pPr>
      <w:overflowPunct/>
      <w:autoSpaceDE/>
      <w:autoSpaceDN/>
      <w:adjustRightInd/>
      <w:spacing w:before="60" w:after="60" w:line="288" w:lineRule="auto"/>
      <w:ind w:firstLine="200"/>
      <w:jc w:val="both"/>
      <w:textAlignment w:val="auto"/>
    </w:pPr>
    <w:rPr>
      <w:rFonts w:ascii="Malgun Gothic" w:eastAsia="Malgun Gothic" w:hAnsi="Malgun Gothic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リスト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EA04CD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A2060E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doc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2388</TotalTime>
  <Pages>4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Luca Blessent</dc:creator>
  <cp:keywords>ESA, style sheet, Winword</cp:keywords>
  <dc:description/>
  <cp:lastModifiedBy>Luca Blessent</cp:lastModifiedBy>
  <cp:revision>106</cp:revision>
  <cp:lastPrinted>1900-01-01T05:00:00Z</cp:lastPrinted>
  <dcterms:created xsi:type="dcterms:W3CDTF">2019-08-05T13:18:00Z</dcterms:created>
  <dcterms:modified xsi:type="dcterms:W3CDTF">2019-08-28T07:25:00Z</dcterms:modified>
</cp:coreProperties>
</file>